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1C105">
      <w:pPr>
        <w:pStyle w:val="8"/>
        <w:keepNext w:val="0"/>
        <w:keepLines w:val="0"/>
        <w:pageBreakBefore w:val="0"/>
        <w:widowControl/>
        <w:shd w:val="clear"/>
        <w:kinsoku/>
        <w:wordWrap/>
        <w:overflowPunct/>
        <w:topLinePunct w:val="0"/>
        <w:autoSpaceDE/>
        <w:autoSpaceDN/>
        <w:bidi w:val="0"/>
        <w:adjustRightInd/>
        <w:snapToGrid/>
        <w:spacing w:before="157" w:beforeLines="50" w:after="157" w:afterLines="50" w:line="360" w:lineRule="auto"/>
        <w:jc w:val="center"/>
        <w:textAlignment w:val="auto"/>
        <w:outlineLvl w:val="1"/>
        <w:rPr>
          <w:rFonts w:hint="eastAsia" w:ascii="宋体" w:hAnsi="宋体" w:eastAsia="宋体" w:cs="宋体"/>
          <w:color w:val="auto"/>
          <w:highlight w:val="none"/>
        </w:rPr>
      </w:pPr>
      <w:r>
        <w:rPr>
          <w:rFonts w:hint="eastAsia" w:ascii="宋体" w:hAnsi="宋体" w:eastAsia="宋体" w:cs="宋体"/>
          <w:b/>
          <w:color w:val="auto"/>
          <w:sz w:val="36"/>
          <w:highlight w:val="none"/>
        </w:rPr>
        <w:t>第八章 拟签订采购合同文本</w:t>
      </w:r>
    </w:p>
    <w:p w14:paraId="4A82376E">
      <w:pPr>
        <w:pStyle w:val="9"/>
        <w:keepNext w:val="0"/>
        <w:keepLines w:val="0"/>
        <w:pageBreakBefore w:val="0"/>
        <w:widowControl w:val="0"/>
        <w:kinsoku/>
        <w:wordWrap/>
        <w:overflowPunct/>
        <w:topLinePunct w:val="0"/>
        <w:autoSpaceDE w:val="0"/>
        <w:autoSpaceDN w:val="0"/>
        <w:bidi w:val="0"/>
        <w:adjustRightInd/>
        <w:snapToGrid/>
        <w:spacing w:after="300" w:line="360" w:lineRule="auto"/>
        <w:jc w:val="left"/>
        <w:textAlignment w:val="auto"/>
        <w:rPr>
          <w:rFonts w:hint="eastAsia"/>
        </w:rPr>
      </w:pPr>
      <w:bookmarkStart w:id="34" w:name="_GoBack"/>
      <w:bookmarkEnd w:id="34"/>
      <w:r>
        <w:rPr>
          <w:rFonts w:hint="eastAsia"/>
        </w:rPr>
        <mc:AlternateContent>
          <mc:Choice Requires="wps">
            <w:drawing>
              <wp:anchor distT="0" distB="0" distL="114300" distR="114300" simplePos="0" relativeHeight="251659264" behindDoc="0" locked="0" layoutInCell="1" allowOverlap="1">
                <wp:simplePos x="0" y="0"/>
                <wp:positionH relativeFrom="page">
                  <wp:posOffset>5730875</wp:posOffset>
                </wp:positionH>
                <wp:positionV relativeFrom="paragraph">
                  <wp:posOffset>12700</wp:posOffset>
                </wp:positionV>
                <wp:extent cx="1022985" cy="455930"/>
                <wp:effectExtent l="4445" t="5080" r="20320" b="15240"/>
                <wp:wrapSquare wrapText="left"/>
                <wp:docPr id="218" name="文本框 218"/>
                <wp:cNvGraphicFramePr/>
                <a:graphic xmlns:a="http://schemas.openxmlformats.org/drawingml/2006/main">
                  <a:graphicData uri="http://schemas.microsoft.com/office/word/2010/wordprocessingShape">
                    <wps:wsp>
                      <wps:cNvSpPr txBox="1"/>
                      <wps:spPr>
                        <a:xfrm>
                          <a:off x="0" y="0"/>
                          <a:ext cx="873125" cy="455930"/>
                        </a:xfrm>
                        <a:prstGeom prst="rect">
                          <a:avLst/>
                        </a:prstGeom>
                        <a:noFill/>
                        <a:ln w="6350">
                          <a:solidFill>
                            <a:srgbClr val="000000"/>
                          </a:solidFill>
                        </a:ln>
                        <a:effectLst/>
                      </wps:spPr>
                      <wps:txbx>
                        <w:txbxContent>
                          <w:p w14:paraId="77D83E38">
                            <w:pPr>
                              <w:pStyle w:val="9"/>
                              <w:spacing w:after="0" w:line="240" w:lineRule="auto"/>
                              <w:rPr>
                                <w:lang w:val="en-US" w:eastAsia="zh-CN"/>
                              </w:rPr>
                            </w:pPr>
                            <w:r>
                              <w:rPr>
                                <w:rFonts w:hint="eastAsia"/>
                                <w:lang w:val="en-US" w:eastAsia="zh-CN"/>
                              </w:rPr>
                              <w:t>竞争性磋商</w:t>
                            </w:r>
                          </w:p>
                        </w:txbxContent>
                      </wps:txbx>
                      <wps:bodyPr wrap="none" lIns="0" tIns="0" rIns="0" bIns="0">
                        <a:noAutofit/>
                      </wps:bodyPr>
                    </wps:wsp>
                  </a:graphicData>
                </a:graphic>
              </wp:anchor>
            </w:drawing>
          </mc:Choice>
          <mc:Fallback>
            <w:pict>
              <v:shape id="_x0000_s1026" o:spid="_x0000_s1026" o:spt="202" type="#_x0000_t202" style="position:absolute;left:0pt;margin-left:451.25pt;margin-top:1pt;height:35.9pt;width:80.55pt;mso-position-horizontal-relative:page;mso-wrap-distance-bottom:0pt;mso-wrap-distance-left:9pt;mso-wrap-distance-right:9pt;mso-wrap-distance-top:0pt;mso-wrap-style:none;z-index:251659264;mso-width-relative:page;mso-height-relative:page;" filled="f" stroked="t" coordsize="21600,21600" o:gfxdata="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npxf62wAAAAkBAAAPAAAAAAAAAAEAIAAAACIAAABkcnMvZG93bnJldi54bWxQSwECFAAU&#10;AAAACACHTuJAOqkTqu4BAADPAwAADgAAAAAAAAABACAAAAAqAQAAZHJzL2Uyb0RvYy54bWxQSwUG&#10;AAAAAAYABgBZAQAAigUAAAAA&#10;">
                <v:fill on="f" focussize="0,0"/>
                <v:stroke weight="0.5pt" color="#000000" joinstyle="round"/>
                <v:imagedata o:title=""/>
                <o:lock v:ext="edit" aspectratio="f"/>
                <v:textbox inset="0mm,0mm,0mm,0mm">
                  <w:txbxContent>
                    <w:p w14:paraId="77D83E38">
                      <w:pPr>
                        <w:pStyle w:val="9"/>
                        <w:spacing w:after="0" w:line="240" w:lineRule="auto"/>
                        <w:rPr>
                          <w:lang w:val="en-US" w:eastAsia="zh-CN"/>
                        </w:rPr>
                      </w:pPr>
                      <w:r>
                        <w:rPr>
                          <w:rFonts w:hint="eastAsia"/>
                          <w:lang w:val="en-US" w:eastAsia="zh-CN"/>
                        </w:rPr>
                        <w:t>竞争性磋商</w:t>
                      </w:r>
                    </w:p>
                  </w:txbxContent>
                </v:textbox>
                <w10:wrap type="square" side="left"/>
              </v:shape>
            </w:pict>
          </mc:Fallback>
        </mc:AlternateContent>
      </w:r>
      <w:r>
        <w:rPr>
          <w:rFonts w:hint="eastAsia"/>
          <w:color w:val="000000"/>
        </w:rPr>
        <w:t>政府采购项目</w:t>
      </w:r>
    </w:p>
    <w:p w14:paraId="11083D2F">
      <w:pPr>
        <w:pStyle w:val="10"/>
        <w:rPr>
          <w:rFonts w:hint="eastAsia"/>
          <w:color w:val="000000"/>
          <w:sz w:val="52"/>
          <w:szCs w:val="52"/>
          <w:lang w:eastAsia="zh-CN"/>
        </w:rPr>
      </w:pPr>
    </w:p>
    <w:p w14:paraId="25832F10">
      <w:pPr>
        <w:pStyle w:val="10"/>
        <w:rPr>
          <w:rFonts w:hint="eastAsia"/>
          <w:color w:val="000000"/>
          <w:sz w:val="52"/>
          <w:szCs w:val="52"/>
          <w:lang w:eastAsia="zh-CN"/>
        </w:rPr>
      </w:pPr>
      <w:r>
        <w:rPr>
          <w:rFonts w:hint="eastAsia"/>
          <w:color w:val="000000"/>
          <w:sz w:val="52"/>
          <w:szCs w:val="52"/>
          <w:lang w:eastAsia="zh-CN"/>
        </w:rPr>
        <w:t>西安市公共资源交易中心</w:t>
      </w:r>
      <w:r>
        <w:rPr>
          <w:rFonts w:hint="eastAsia"/>
          <w:color w:val="000000"/>
          <w:sz w:val="52"/>
          <w:szCs w:val="52"/>
          <w:u w:val="single"/>
          <w:lang w:val="en-US" w:eastAsia="zh-CN"/>
        </w:rPr>
        <w:t xml:space="preserve">   </w:t>
      </w:r>
      <w:r>
        <w:rPr>
          <w:rFonts w:hint="eastAsia"/>
          <w:color w:val="000000"/>
          <w:sz w:val="52"/>
          <w:szCs w:val="52"/>
          <w:lang w:eastAsia="zh-CN"/>
        </w:rPr>
        <w:t>项目</w:t>
      </w:r>
    </w:p>
    <w:p w14:paraId="73C99EFA">
      <w:pPr>
        <w:pStyle w:val="10"/>
        <w:rPr>
          <w:rFonts w:hint="eastAsia"/>
          <w:color w:val="000000"/>
        </w:rPr>
      </w:pPr>
    </w:p>
    <w:p w14:paraId="181949E0">
      <w:pPr>
        <w:pStyle w:val="10"/>
        <w:rPr>
          <w:rFonts w:hint="eastAsia"/>
        </w:rPr>
      </w:pPr>
      <w:r>
        <w:rPr>
          <w:rFonts w:hint="eastAsia"/>
          <w:color w:val="000000"/>
        </w:rPr>
        <w:t>服务合同</w:t>
      </w:r>
    </w:p>
    <w:p w14:paraId="38922C3F">
      <w:pPr>
        <w:pStyle w:val="11"/>
        <w:rPr>
          <w:rFonts w:hint="eastAsia" w:ascii="宋体" w:hAnsi="宋体" w:cs="宋体"/>
        </w:rPr>
      </w:pPr>
      <w:r>
        <w:rPr>
          <w:rFonts w:hint="eastAsia" w:ascii="宋体" w:hAnsi="宋体" w:cs="宋体"/>
          <w:color w:val="000000"/>
          <w:sz w:val="32"/>
          <w:szCs w:val="32"/>
          <w:lang w:val="zh-TW" w:eastAsia="zh-TW" w:bidi="zh-TW"/>
        </w:rPr>
        <w:t>（</w:t>
      </w:r>
      <w:r>
        <w:rPr>
          <w:rFonts w:hint="eastAsia" w:ascii="宋体" w:hAnsi="宋体" w:cs="宋体"/>
          <w:color w:val="000000"/>
          <w:sz w:val="32"/>
          <w:szCs w:val="32"/>
          <w:lang w:val="zh-TW" w:bidi="zh-TW"/>
        </w:rPr>
        <w:t>项目</w:t>
      </w:r>
      <w:r>
        <w:rPr>
          <w:rFonts w:hint="eastAsia" w:ascii="宋体" w:hAnsi="宋体" w:cs="宋体"/>
          <w:color w:val="000000"/>
          <w:sz w:val="32"/>
          <w:szCs w:val="32"/>
          <w:lang w:val="zh-TW" w:eastAsia="zh-TW" w:bidi="zh-TW"/>
        </w:rPr>
        <w:t>编号：</w:t>
      </w:r>
      <w:r>
        <w:rPr>
          <w:rFonts w:hint="eastAsia" w:ascii="宋体" w:hAnsi="宋体" w:cs="宋体"/>
          <w:color w:val="000000"/>
          <w:lang w:bidi="en-US"/>
        </w:rPr>
        <w:t>）</w:t>
      </w:r>
    </w:p>
    <w:p w14:paraId="678BAA59">
      <w:pPr>
        <w:pStyle w:val="9"/>
        <w:spacing w:after="0" w:line="360" w:lineRule="auto"/>
        <w:ind w:firstLine="1280" w:firstLineChars="400"/>
        <w:rPr>
          <w:rFonts w:hint="eastAsia"/>
          <w:color w:val="000000"/>
        </w:rPr>
      </w:pPr>
    </w:p>
    <w:p w14:paraId="742C6E68">
      <w:pPr>
        <w:pStyle w:val="9"/>
        <w:spacing w:after="0" w:line="360" w:lineRule="auto"/>
        <w:ind w:firstLine="1280" w:firstLineChars="400"/>
        <w:rPr>
          <w:rFonts w:hint="eastAsia"/>
          <w:color w:val="000000"/>
        </w:rPr>
      </w:pPr>
    </w:p>
    <w:p w14:paraId="72D91760">
      <w:pPr>
        <w:pStyle w:val="9"/>
        <w:spacing w:after="0" w:line="360" w:lineRule="auto"/>
        <w:ind w:firstLine="1280" w:firstLineChars="400"/>
        <w:rPr>
          <w:rFonts w:hint="eastAsia"/>
          <w:color w:val="000000"/>
          <w:sz w:val="30"/>
          <w:szCs w:val="30"/>
          <w:lang w:val="en-US" w:eastAsia="zh-CN" w:bidi="en-US"/>
        </w:rPr>
      </w:pPr>
      <w:r>
        <w:rPr>
          <w:rFonts w:hint="eastAsia"/>
          <w:color w:val="000000"/>
        </w:rPr>
        <w:t>甲方：</w:t>
      </w:r>
    </w:p>
    <w:p w14:paraId="1F0D6BC6">
      <w:pPr>
        <w:pStyle w:val="9"/>
        <w:snapToGrid w:val="0"/>
        <w:spacing w:after="0" w:line="360" w:lineRule="auto"/>
        <w:ind w:firstLine="1280" w:firstLineChars="400"/>
        <w:jc w:val="left"/>
        <w:rPr>
          <w:rFonts w:hint="eastAsia"/>
          <w:color w:val="000000"/>
          <w:sz w:val="30"/>
          <w:szCs w:val="30"/>
          <w:lang w:val="en-US" w:eastAsia="zh-CN" w:bidi="en-US"/>
        </w:rPr>
      </w:pPr>
      <w:r>
        <w:rPr>
          <w:rFonts w:hint="eastAsia"/>
          <w:color w:val="000000"/>
        </w:rPr>
        <w:t>乙方：</w:t>
      </w:r>
    </w:p>
    <w:p w14:paraId="6A9BFDCC">
      <w:pPr>
        <w:pStyle w:val="9"/>
        <w:snapToGrid w:val="0"/>
        <w:spacing w:after="0" w:line="360" w:lineRule="auto"/>
        <w:ind w:firstLine="1200" w:firstLineChars="400"/>
        <w:jc w:val="left"/>
        <w:rPr>
          <w:rFonts w:hint="eastAsia"/>
          <w:color w:val="000000"/>
          <w:sz w:val="30"/>
          <w:szCs w:val="30"/>
          <w:lang w:val="en-US" w:eastAsia="zh-CN" w:bidi="en-US"/>
        </w:rPr>
      </w:pPr>
    </w:p>
    <w:p w14:paraId="761E6E85">
      <w:pPr>
        <w:pStyle w:val="9"/>
        <w:snapToGrid w:val="0"/>
        <w:spacing w:after="0" w:line="360" w:lineRule="auto"/>
        <w:jc w:val="center"/>
        <w:rPr>
          <w:rFonts w:hint="eastAsia"/>
          <w:color w:val="000000"/>
          <w:lang w:eastAsia="zh-CN"/>
        </w:rPr>
      </w:pPr>
      <w:r>
        <w:rPr>
          <w:rFonts w:hint="eastAsia"/>
          <w:color w:val="000000"/>
          <w:sz w:val="30"/>
          <w:szCs w:val="30"/>
          <w:lang w:val="en-US" w:eastAsia="zh-CN" w:bidi="en-US"/>
        </w:rPr>
        <w:t>2025</w:t>
      </w:r>
      <w:r>
        <w:rPr>
          <w:rFonts w:hint="eastAsia"/>
          <w:color w:val="000000"/>
        </w:rPr>
        <w:t>年</w:t>
      </w:r>
      <w:r>
        <w:rPr>
          <w:rFonts w:hint="eastAsia"/>
          <w:color w:val="000000"/>
          <w:lang w:val="en-US" w:eastAsia="zh-CN"/>
        </w:rPr>
        <w:t xml:space="preserve">  </w:t>
      </w:r>
      <w:r>
        <w:rPr>
          <w:rFonts w:hint="eastAsia"/>
          <w:color w:val="000000"/>
        </w:rPr>
        <w:t>月</w:t>
      </w:r>
    </w:p>
    <w:p w14:paraId="27446CC3">
      <w:pPr>
        <w:pStyle w:val="9"/>
        <w:snapToGrid w:val="0"/>
        <w:spacing w:after="0" w:line="360" w:lineRule="auto"/>
        <w:jc w:val="center"/>
        <w:rPr>
          <w:rFonts w:hint="eastAsia"/>
        </w:rPr>
      </w:pPr>
      <w:r>
        <w:rPr>
          <w:rFonts w:hint="eastAsia"/>
          <w:color w:val="000000"/>
        </w:rPr>
        <w:t>中国西安</w:t>
      </w:r>
    </w:p>
    <w:p w14:paraId="1C97138E">
      <w:pPr>
        <w:rPr>
          <w:rFonts w:hint="eastAsia"/>
          <w:b/>
          <w:bCs/>
          <w:color w:val="000000"/>
          <w:sz w:val="24"/>
          <w:szCs w:val="24"/>
        </w:rPr>
      </w:pPr>
      <w:bookmarkStart w:id="0" w:name="bookmark1072"/>
      <w:bookmarkStart w:id="1" w:name="bookmark1070"/>
      <w:bookmarkStart w:id="2" w:name="bookmark1071"/>
      <w:bookmarkStart w:id="3" w:name="_Toc31075"/>
      <w:r>
        <w:rPr>
          <w:rFonts w:hint="eastAsia"/>
          <w:b/>
          <w:bCs/>
          <w:color w:val="000000"/>
          <w:sz w:val="24"/>
          <w:szCs w:val="24"/>
        </w:rPr>
        <w:br w:type="page"/>
      </w:r>
    </w:p>
    <w:p w14:paraId="6FC2629E">
      <w:pPr>
        <w:pStyle w:val="12"/>
        <w:keepNext/>
        <w:keepLines/>
        <w:pageBreakBefore w:val="0"/>
        <w:widowControl w:val="0"/>
        <w:kinsoku/>
        <w:wordWrap/>
        <w:overflowPunct/>
        <w:topLinePunct w:val="0"/>
        <w:bidi w:val="0"/>
        <w:spacing w:line="360" w:lineRule="auto"/>
        <w:ind w:left="0" w:firstLine="0" w:firstLineChars="0"/>
        <w:jc w:val="center"/>
        <w:textAlignment w:val="auto"/>
        <w:outlineLvl w:val="9"/>
        <w:rPr>
          <w:rFonts w:hint="eastAsia" w:ascii="宋体" w:hAnsi="宋体" w:eastAsia="宋体" w:cs="宋体"/>
          <w:b/>
          <w:bCs/>
          <w:sz w:val="32"/>
          <w:szCs w:val="32"/>
        </w:rPr>
      </w:pPr>
      <w:r>
        <w:rPr>
          <w:rFonts w:hint="eastAsia" w:ascii="宋体" w:hAnsi="宋体" w:eastAsia="宋体" w:cs="宋体"/>
          <w:b/>
          <w:bCs/>
          <w:color w:val="000000"/>
          <w:sz w:val="32"/>
          <w:szCs w:val="32"/>
        </w:rPr>
        <w:t>服务合同</w:t>
      </w:r>
      <w:bookmarkEnd w:id="0"/>
      <w:bookmarkEnd w:id="1"/>
      <w:bookmarkEnd w:id="2"/>
      <w:bookmarkEnd w:id="3"/>
    </w:p>
    <w:p w14:paraId="332C4AF3">
      <w:pPr>
        <w:pStyle w:val="13"/>
        <w:pageBreakBefore w:val="0"/>
        <w:widowControl w:val="0"/>
        <w:kinsoku/>
        <w:wordWrap/>
        <w:overflowPunct/>
        <w:topLinePunct w:val="0"/>
        <w:bidi w:val="0"/>
        <w:spacing w:line="360" w:lineRule="auto"/>
        <w:ind w:left="0" w:firstLine="420" w:firstLineChars="200"/>
        <w:jc w:val="left"/>
        <w:textAlignment w:val="auto"/>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rPr>
        <w:t>甲方（采购人名称全称）：</w:t>
      </w:r>
      <w:r>
        <w:rPr>
          <w:rFonts w:hint="eastAsia" w:cs="宋体"/>
          <w:color w:val="000000"/>
          <w:sz w:val="21"/>
          <w:szCs w:val="21"/>
          <w:u w:val="single"/>
          <w:lang w:val="en-US" w:eastAsia="zh-CN"/>
        </w:rPr>
        <w:t xml:space="preserve">                          </w:t>
      </w:r>
    </w:p>
    <w:p w14:paraId="2EF09A68">
      <w:pPr>
        <w:pStyle w:val="13"/>
        <w:pageBreakBefore w:val="0"/>
        <w:widowControl w:val="0"/>
        <w:kinsoku/>
        <w:wordWrap/>
        <w:overflowPunct/>
        <w:topLinePunct w:val="0"/>
        <w:bidi w:val="0"/>
        <w:spacing w:line="360" w:lineRule="auto"/>
        <w:ind w:left="0" w:firstLine="420" w:firstLineChars="20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乙方（供应商名称</w:t>
      </w:r>
      <w:r>
        <w:rPr>
          <w:rFonts w:hint="eastAsia" w:cs="宋体"/>
          <w:color w:val="000000"/>
          <w:sz w:val="21"/>
          <w:szCs w:val="21"/>
          <w:lang w:eastAsia="zh-CN"/>
        </w:rPr>
        <w:t>全称</w:t>
      </w:r>
      <w:r>
        <w:rPr>
          <w:rFonts w:hint="eastAsia" w:ascii="宋体" w:hAnsi="宋体" w:eastAsia="宋体" w:cs="宋体"/>
          <w:color w:val="000000"/>
          <w:sz w:val="21"/>
          <w:szCs w:val="21"/>
        </w:rPr>
        <w:t>）：</w:t>
      </w:r>
      <w:r>
        <w:rPr>
          <w:rFonts w:hint="eastAsia" w:cs="宋体"/>
          <w:color w:val="000000"/>
          <w:sz w:val="21"/>
          <w:szCs w:val="21"/>
          <w:u w:val="single"/>
          <w:lang w:val="en-US" w:eastAsia="zh-CN"/>
        </w:rPr>
        <w:t xml:space="preserve">                          </w:t>
      </w:r>
    </w:p>
    <w:p w14:paraId="20FDE3A0">
      <w:pPr>
        <w:pStyle w:val="14"/>
        <w:pageBreakBefore w:val="0"/>
        <w:widowControl w:val="0"/>
        <w:kinsoku/>
        <w:wordWrap/>
        <w:overflowPunct/>
        <w:topLinePunct w:val="0"/>
        <w:bidi w:val="0"/>
        <w:spacing w:line="360" w:lineRule="auto"/>
        <w:ind w:left="0" w:firstLine="420" w:firstLineChars="20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依据《中华人民共和国政府</w:t>
      </w:r>
      <w:r>
        <w:rPr>
          <w:rFonts w:hint="eastAsia" w:cs="宋体"/>
          <w:color w:val="000000"/>
          <w:sz w:val="21"/>
          <w:szCs w:val="21"/>
          <w:lang w:eastAsia="zh-CN"/>
        </w:rPr>
        <w:t>采</w:t>
      </w:r>
      <w:r>
        <w:rPr>
          <w:rFonts w:hint="eastAsia" w:ascii="宋体" w:hAnsi="宋体" w:eastAsia="宋体" w:cs="宋体"/>
          <w:color w:val="000000"/>
          <w:sz w:val="21"/>
          <w:szCs w:val="21"/>
        </w:rPr>
        <w:t>购法》、《中华人民共和国民法典》以及</w:t>
      </w:r>
      <w:r>
        <w:rPr>
          <w:rFonts w:hint="eastAsia" w:cs="宋体"/>
          <w:color w:val="000000"/>
          <w:sz w:val="21"/>
          <w:szCs w:val="21"/>
          <w:lang w:eastAsia="zh-CN"/>
        </w:rPr>
        <w:t>磋商文件</w:t>
      </w:r>
      <w:r>
        <w:rPr>
          <w:rFonts w:hint="eastAsia" w:ascii="宋体" w:hAnsi="宋体" w:eastAsia="宋体" w:cs="宋体"/>
          <w:color w:val="000000"/>
          <w:sz w:val="21"/>
          <w:szCs w:val="21"/>
        </w:rPr>
        <w:t>、中标通知书，经甲、乙双方协商，达成如下合同条款。</w:t>
      </w:r>
    </w:p>
    <w:p w14:paraId="4CD1B4B2">
      <w:pPr>
        <w:pStyle w:val="15"/>
        <w:pageBreakBefore w:val="0"/>
        <w:widowControl w:val="0"/>
        <w:kinsoku/>
        <w:wordWrap/>
        <w:overflowPunct/>
        <w:topLinePunct w:val="0"/>
        <w:bidi w:val="0"/>
        <w:spacing w:line="360" w:lineRule="auto"/>
        <w:ind w:left="0"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一、合同标的物内容及数量（以</w:t>
      </w:r>
      <w:r>
        <w:rPr>
          <w:rFonts w:hint="eastAsia" w:cs="宋体"/>
          <w:b/>
          <w:bCs/>
          <w:color w:val="000000"/>
          <w:sz w:val="21"/>
          <w:szCs w:val="21"/>
          <w:lang w:eastAsia="zh-CN"/>
        </w:rPr>
        <w:t>响应文件</w:t>
      </w:r>
      <w:r>
        <w:rPr>
          <w:rFonts w:hint="eastAsia" w:ascii="宋体" w:hAnsi="宋体" w:eastAsia="宋体" w:cs="宋体"/>
          <w:b/>
          <w:bCs/>
          <w:color w:val="000000"/>
          <w:sz w:val="21"/>
          <w:szCs w:val="21"/>
        </w:rPr>
        <w:t>正本和澄清表〈函〉为准）</w:t>
      </w:r>
    </w:p>
    <w:tbl>
      <w:tblPr>
        <w:tblStyle w:val="6"/>
        <w:tblW w:w="0" w:type="auto"/>
        <w:jc w:val="center"/>
        <w:shd w:val="clear" w:color="auto" w:fill="auto"/>
        <w:tblLayout w:type="fixed"/>
        <w:tblCellMar>
          <w:top w:w="0" w:type="dxa"/>
          <w:left w:w="10" w:type="dxa"/>
          <w:bottom w:w="0" w:type="dxa"/>
          <w:right w:w="10" w:type="dxa"/>
        </w:tblCellMar>
      </w:tblPr>
      <w:tblGrid>
        <w:gridCol w:w="756"/>
        <w:gridCol w:w="1318"/>
        <w:gridCol w:w="1310"/>
        <w:gridCol w:w="1325"/>
        <w:gridCol w:w="1318"/>
        <w:gridCol w:w="965"/>
        <w:gridCol w:w="958"/>
        <w:gridCol w:w="986"/>
      </w:tblGrid>
      <w:tr w14:paraId="734D2533">
        <w:tblPrEx>
          <w:shd w:val="clear" w:color="auto" w:fill="auto"/>
          <w:tblCellMar>
            <w:top w:w="0" w:type="dxa"/>
            <w:left w:w="10" w:type="dxa"/>
            <w:bottom w:w="0" w:type="dxa"/>
            <w:right w:w="10" w:type="dxa"/>
          </w:tblCellMar>
        </w:tblPrEx>
        <w:trPr>
          <w:trHeight w:val="1022" w:hRule="exact"/>
          <w:jc w:val="center"/>
        </w:trPr>
        <w:tc>
          <w:tcPr>
            <w:tcW w:w="756" w:type="dxa"/>
            <w:tcBorders>
              <w:top w:val="single" w:color="auto" w:sz="4" w:space="0"/>
              <w:left w:val="single" w:color="auto" w:sz="4" w:space="0"/>
            </w:tcBorders>
            <w:shd w:val="clear" w:color="auto" w:fill="auto"/>
            <w:noWrap w:val="0"/>
            <w:vAlign w:val="center"/>
          </w:tcPr>
          <w:p w14:paraId="501F3CF1">
            <w:pPr>
              <w:pStyle w:val="16"/>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color w:val="000000"/>
                <w:sz w:val="21"/>
                <w:szCs w:val="21"/>
              </w:rPr>
              <w:t>序号</w:t>
            </w:r>
          </w:p>
        </w:tc>
        <w:tc>
          <w:tcPr>
            <w:tcW w:w="1318" w:type="dxa"/>
            <w:tcBorders>
              <w:top w:val="single" w:color="auto" w:sz="4" w:space="0"/>
              <w:left w:val="single" w:color="auto" w:sz="4" w:space="0"/>
            </w:tcBorders>
            <w:shd w:val="clear" w:color="auto" w:fill="auto"/>
            <w:noWrap w:val="0"/>
            <w:vAlign w:val="center"/>
          </w:tcPr>
          <w:p w14:paraId="7088E71D">
            <w:pPr>
              <w:pStyle w:val="16"/>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color w:val="000000"/>
                <w:sz w:val="21"/>
                <w:szCs w:val="21"/>
              </w:rPr>
              <w:t>服务名称</w:t>
            </w:r>
          </w:p>
        </w:tc>
        <w:tc>
          <w:tcPr>
            <w:tcW w:w="1310" w:type="dxa"/>
            <w:tcBorders>
              <w:top w:val="single" w:color="auto" w:sz="4" w:space="0"/>
              <w:left w:val="single" w:color="auto" w:sz="4" w:space="0"/>
            </w:tcBorders>
            <w:shd w:val="clear" w:color="auto" w:fill="auto"/>
            <w:noWrap w:val="0"/>
            <w:vAlign w:val="center"/>
          </w:tcPr>
          <w:p w14:paraId="33345678">
            <w:pPr>
              <w:pStyle w:val="16"/>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color w:val="000000"/>
                <w:sz w:val="21"/>
                <w:szCs w:val="21"/>
              </w:rPr>
              <w:t>服务内容</w:t>
            </w:r>
          </w:p>
        </w:tc>
        <w:tc>
          <w:tcPr>
            <w:tcW w:w="1325" w:type="dxa"/>
            <w:tcBorders>
              <w:top w:val="single" w:color="auto" w:sz="4" w:space="0"/>
              <w:left w:val="single" w:color="auto" w:sz="4" w:space="0"/>
            </w:tcBorders>
            <w:shd w:val="clear" w:color="auto" w:fill="auto"/>
            <w:noWrap w:val="0"/>
            <w:vAlign w:val="center"/>
          </w:tcPr>
          <w:p w14:paraId="5AF1F148">
            <w:pPr>
              <w:pStyle w:val="16"/>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color w:val="000000"/>
                <w:sz w:val="21"/>
                <w:szCs w:val="21"/>
              </w:rPr>
              <w:t>计量单位</w:t>
            </w:r>
          </w:p>
        </w:tc>
        <w:tc>
          <w:tcPr>
            <w:tcW w:w="1318" w:type="dxa"/>
            <w:tcBorders>
              <w:top w:val="single" w:color="auto" w:sz="4" w:space="0"/>
              <w:left w:val="single" w:color="auto" w:sz="4" w:space="0"/>
            </w:tcBorders>
            <w:shd w:val="clear" w:color="auto" w:fill="auto"/>
            <w:noWrap w:val="0"/>
            <w:vAlign w:val="center"/>
          </w:tcPr>
          <w:p w14:paraId="4CB98CD2">
            <w:pPr>
              <w:pStyle w:val="16"/>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color w:val="000000"/>
                <w:sz w:val="21"/>
                <w:szCs w:val="21"/>
              </w:rPr>
              <w:t>服务时间</w:t>
            </w:r>
          </w:p>
        </w:tc>
        <w:tc>
          <w:tcPr>
            <w:tcW w:w="965" w:type="dxa"/>
            <w:tcBorders>
              <w:top w:val="single" w:color="auto" w:sz="4" w:space="0"/>
              <w:left w:val="single" w:color="auto" w:sz="4" w:space="0"/>
            </w:tcBorders>
            <w:shd w:val="clear" w:color="auto" w:fill="auto"/>
            <w:noWrap w:val="0"/>
            <w:vAlign w:val="center"/>
          </w:tcPr>
          <w:p w14:paraId="5CD21947">
            <w:pPr>
              <w:pStyle w:val="16"/>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color w:val="000000"/>
                <w:sz w:val="21"/>
                <w:szCs w:val="21"/>
              </w:rPr>
              <w:t>数量</w:t>
            </w:r>
          </w:p>
        </w:tc>
        <w:tc>
          <w:tcPr>
            <w:tcW w:w="958" w:type="dxa"/>
            <w:tcBorders>
              <w:top w:val="single" w:color="auto" w:sz="4" w:space="0"/>
              <w:left w:val="single" w:color="auto" w:sz="4" w:space="0"/>
            </w:tcBorders>
            <w:shd w:val="clear" w:color="auto" w:fill="auto"/>
            <w:noWrap w:val="0"/>
            <w:vAlign w:val="center"/>
          </w:tcPr>
          <w:p w14:paraId="5EEC21F6">
            <w:pPr>
              <w:pStyle w:val="16"/>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color w:val="000000"/>
                <w:sz w:val="21"/>
                <w:szCs w:val="21"/>
              </w:rPr>
              <w:t>单价</w:t>
            </w:r>
          </w:p>
          <w:p w14:paraId="28B2F581">
            <w:pPr>
              <w:pStyle w:val="16"/>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color w:val="000000"/>
                <w:sz w:val="21"/>
                <w:szCs w:val="21"/>
              </w:rPr>
              <w:t>（元）</w:t>
            </w:r>
          </w:p>
        </w:tc>
        <w:tc>
          <w:tcPr>
            <w:tcW w:w="986" w:type="dxa"/>
            <w:tcBorders>
              <w:top w:val="single" w:color="auto" w:sz="4" w:space="0"/>
              <w:left w:val="single" w:color="auto" w:sz="4" w:space="0"/>
              <w:right w:val="single" w:color="auto" w:sz="4" w:space="0"/>
            </w:tcBorders>
            <w:shd w:val="clear" w:color="auto" w:fill="auto"/>
            <w:noWrap w:val="0"/>
            <w:vAlign w:val="center"/>
          </w:tcPr>
          <w:p w14:paraId="1A122EC4">
            <w:pPr>
              <w:pStyle w:val="16"/>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color w:val="000000"/>
                <w:sz w:val="21"/>
                <w:szCs w:val="21"/>
              </w:rPr>
              <w:t>总价</w:t>
            </w:r>
          </w:p>
          <w:p w14:paraId="230C2EFE">
            <w:pPr>
              <w:pStyle w:val="16"/>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color w:val="000000"/>
                <w:sz w:val="21"/>
                <w:szCs w:val="21"/>
              </w:rPr>
              <w:t>（元）</w:t>
            </w:r>
          </w:p>
        </w:tc>
      </w:tr>
      <w:tr w14:paraId="2B6DEC80">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auto"/>
            <w:noWrap w:val="0"/>
            <w:vAlign w:val="center"/>
          </w:tcPr>
          <w:p w14:paraId="77623A82">
            <w:pPr>
              <w:pStyle w:val="16"/>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i w:val="0"/>
                <w:iCs w:val="0"/>
                <w:sz w:val="21"/>
                <w:szCs w:val="21"/>
                <w:u w:val="none"/>
              </w:rPr>
            </w:pPr>
            <w:r>
              <w:rPr>
                <w:rFonts w:hint="eastAsia" w:ascii="宋体" w:hAnsi="宋体" w:eastAsia="宋体" w:cs="宋体"/>
                <w:i w:val="0"/>
                <w:iCs w:val="0"/>
                <w:color w:val="000000"/>
                <w:sz w:val="21"/>
                <w:szCs w:val="21"/>
                <w:u w:val="none"/>
              </w:rPr>
              <w:t>1</w:t>
            </w:r>
          </w:p>
        </w:tc>
        <w:tc>
          <w:tcPr>
            <w:tcW w:w="1318" w:type="dxa"/>
            <w:tcBorders>
              <w:top w:val="single" w:color="auto" w:sz="4" w:space="0"/>
              <w:left w:val="single" w:color="auto" w:sz="4" w:space="0"/>
            </w:tcBorders>
            <w:shd w:val="clear" w:color="auto" w:fill="auto"/>
            <w:noWrap w:val="0"/>
            <w:vAlign w:val="center"/>
          </w:tcPr>
          <w:p w14:paraId="051B2B68">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1310" w:type="dxa"/>
            <w:tcBorders>
              <w:top w:val="single" w:color="auto" w:sz="4" w:space="0"/>
              <w:left w:val="single" w:color="auto" w:sz="4" w:space="0"/>
            </w:tcBorders>
            <w:shd w:val="clear" w:color="auto" w:fill="auto"/>
            <w:noWrap w:val="0"/>
            <w:vAlign w:val="center"/>
          </w:tcPr>
          <w:p w14:paraId="119B74F8">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1325" w:type="dxa"/>
            <w:tcBorders>
              <w:top w:val="single" w:color="auto" w:sz="4" w:space="0"/>
              <w:left w:val="single" w:color="auto" w:sz="4" w:space="0"/>
            </w:tcBorders>
            <w:shd w:val="clear" w:color="auto" w:fill="auto"/>
            <w:noWrap w:val="0"/>
            <w:vAlign w:val="center"/>
          </w:tcPr>
          <w:p w14:paraId="7E5337E2">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1318" w:type="dxa"/>
            <w:tcBorders>
              <w:top w:val="single" w:color="auto" w:sz="4" w:space="0"/>
              <w:left w:val="single" w:color="auto" w:sz="4" w:space="0"/>
            </w:tcBorders>
            <w:shd w:val="clear" w:color="auto" w:fill="auto"/>
            <w:noWrap w:val="0"/>
            <w:vAlign w:val="center"/>
          </w:tcPr>
          <w:p w14:paraId="7150320E">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965" w:type="dxa"/>
            <w:tcBorders>
              <w:top w:val="single" w:color="auto" w:sz="4" w:space="0"/>
              <w:left w:val="single" w:color="auto" w:sz="4" w:space="0"/>
            </w:tcBorders>
            <w:shd w:val="clear" w:color="auto" w:fill="auto"/>
            <w:noWrap w:val="0"/>
            <w:vAlign w:val="center"/>
          </w:tcPr>
          <w:p w14:paraId="0B5B7591">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958" w:type="dxa"/>
            <w:tcBorders>
              <w:top w:val="single" w:color="auto" w:sz="4" w:space="0"/>
              <w:left w:val="single" w:color="auto" w:sz="4" w:space="0"/>
            </w:tcBorders>
            <w:shd w:val="clear" w:color="auto" w:fill="auto"/>
            <w:noWrap w:val="0"/>
            <w:vAlign w:val="center"/>
          </w:tcPr>
          <w:p w14:paraId="2BB17031">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986" w:type="dxa"/>
            <w:tcBorders>
              <w:top w:val="single" w:color="auto" w:sz="4" w:space="0"/>
              <w:left w:val="single" w:color="auto" w:sz="4" w:space="0"/>
              <w:right w:val="single" w:color="auto" w:sz="4" w:space="0"/>
            </w:tcBorders>
            <w:shd w:val="clear" w:color="auto" w:fill="auto"/>
            <w:noWrap w:val="0"/>
            <w:vAlign w:val="center"/>
          </w:tcPr>
          <w:p w14:paraId="321795D1">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r>
      <w:tr w14:paraId="7119092C">
        <w:tblPrEx>
          <w:shd w:val="clear" w:color="auto" w:fill="auto"/>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auto"/>
            <w:noWrap w:val="0"/>
            <w:vAlign w:val="center"/>
          </w:tcPr>
          <w:p w14:paraId="070D6B55">
            <w:pPr>
              <w:pStyle w:val="16"/>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i w:val="0"/>
                <w:iCs w:val="0"/>
                <w:sz w:val="21"/>
                <w:szCs w:val="21"/>
                <w:u w:val="none"/>
              </w:rPr>
            </w:pPr>
            <w:r>
              <w:rPr>
                <w:rFonts w:hint="eastAsia" w:ascii="宋体" w:hAnsi="宋体" w:eastAsia="宋体" w:cs="宋体"/>
                <w:i w:val="0"/>
                <w:iCs w:val="0"/>
                <w:color w:val="000000"/>
                <w:sz w:val="21"/>
                <w:szCs w:val="21"/>
                <w:u w:val="none"/>
              </w:rPr>
              <w:t>2</w:t>
            </w:r>
          </w:p>
        </w:tc>
        <w:tc>
          <w:tcPr>
            <w:tcW w:w="1318" w:type="dxa"/>
            <w:tcBorders>
              <w:top w:val="single" w:color="auto" w:sz="4" w:space="0"/>
              <w:left w:val="single" w:color="auto" w:sz="4" w:space="0"/>
            </w:tcBorders>
            <w:shd w:val="clear" w:color="auto" w:fill="auto"/>
            <w:noWrap w:val="0"/>
            <w:vAlign w:val="center"/>
          </w:tcPr>
          <w:p w14:paraId="701D92FC">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1310" w:type="dxa"/>
            <w:tcBorders>
              <w:top w:val="single" w:color="auto" w:sz="4" w:space="0"/>
              <w:left w:val="single" w:color="auto" w:sz="4" w:space="0"/>
            </w:tcBorders>
            <w:shd w:val="clear" w:color="auto" w:fill="auto"/>
            <w:noWrap w:val="0"/>
            <w:vAlign w:val="center"/>
          </w:tcPr>
          <w:p w14:paraId="1C58FDFC">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1325" w:type="dxa"/>
            <w:tcBorders>
              <w:top w:val="single" w:color="auto" w:sz="4" w:space="0"/>
              <w:left w:val="single" w:color="auto" w:sz="4" w:space="0"/>
            </w:tcBorders>
            <w:shd w:val="clear" w:color="auto" w:fill="auto"/>
            <w:noWrap w:val="0"/>
            <w:vAlign w:val="center"/>
          </w:tcPr>
          <w:p w14:paraId="51B7E758">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1318" w:type="dxa"/>
            <w:tcBorders>
              <w:top w:val="single" w:color="auto" w:sz="4" w:space="0"/>
              <w:left w:val="single" w:color="auto" w:sz="4" w:space="0"/>
            </w:tcBorders>
            <w:shd w:val="clear" w:color="auto" w:fill="auto"/>
            <w:noWrap w:val="0"/>
            <w:vAlign w:val="center"/>
          </w:tcPr>
          <w:p w14:paraId="52B7417E">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965" w:type="dxa"/>
            <w:tcBorders>
              <w:top w:val="single" w:color="auto" w:sz="4" w:space="0"/>
              <w:left w:val="single" w:color="auto" w:sz="4" w:space="0"/>
            </w:tcBorders>
            <w:shd w:val="clear" w:color="auto" w:fill="auto"/>
            <w:noWrap w:val="0"/>
            <w:vAlign w:val="center"/>
          </w:tcPr>
          <w:p w14:paraId="49837718">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958" w:type="dxa"/>
            <w:tcBorders>
              <w:top w:val="single" w:color="auto" w:sz="4" w:space="0"/>
              <w:left w:val="single" w:color="auto" w:sz="4" w:space="0"/>
            </w:tcBorders>
            <w:shd w:val="clear" w:color="auto" w:fill="auto"/>
            <w:noWrap w:val="0"/>
            <w:vAlign w:val="center"/>
          </w:tcPr>
          <w:p w14:paraId="7E0B98F0">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986" w:type="dxa"/>
            <w:tcBorders>
              <w:top w:val="single" w:color="auto" w:sz="4" w:space="0"/>
              <w:left w:val="single" w:color="auto" w:sz="4" w:space="0"/>
              <w:right w:val="single" w:color="auto" w:sz="4" w:space="0"/>
            </w:tcBorders>
            <w:shd w:val="clear" w:color="auto" w:fill="auto"/>
            <w:noWrap w:val="0"/>
            <w:vAlign w:val="center"/>
          </w:tcPr>
          <w:p w14:paraId="7A3F4A4F">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r>
      <w:tr w14:paraId="225F4CD6">
        <w:tblPrEx>
          <w:shd w:val="clear" w:color="auto" w:fill="auto"/>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auto"/>
            <w:noWrap w:val="0"/>
            <w:vAlign w:val="center"/>
          </w:tcPr>
          <w:p w14:paraId="1F2BE47F">
            <w:pPr>
              <w:pStyle w:val="16"/>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i w:val="0"/>
                <w:iCs w:val="0"/>
                <w:sz w:val="21"/>
                <w:szCs w:val="21"/>
                <w:u w:val="none"/>
              </w:rPr>
            </w:pPr>
            <w:r>
              <w:rPr>
                <w:rFonts w:hint="eastAsia" w:ascii="宋体" w:hAnsi="宋体" w:eastAsia="宋体" w:cs="宋体"/>
                <w:i w:val="0"/>
                <w:iCs w:val="0"/>
                <w:color w:val="000000"/>
                <w:sz w:val="21"/>
                <w:szCs w:val="21"/>
                <w:u w:val="none"/>
              </w:rPr>
              <w:t>3</w:t>
            </w:r>
          </w:p>
        </w:tc>
        <w:tc>
          <w:tcPr>
            <w:tcW w:w="1318" w:type="dxa"/>
            <w:tcBorders>
              <w:top w:val="single" w:color="auto" w:sz="4" w:space="0"/>
              <w:left w:val="single" w:color="auto" w:sz="4" w:space="0"/>
            </w:tcBorders>
            <w:shd w:val="clear" w:color="auto" w:fill="auto"/>
            <w:noWrap w:val="0"/>
            <w:vAlign w:val="center"/>
          </w:tcPr>
          <w:p w14:paraId="570E1B41">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1310" w:type="dxa"/>
            <w:tcBorders>
              <w:top w:val="single" w:color="auto" w:sz="4" w:space="0"/>
              <w:left w:val="single" w:color="auto" w:sz="4" w:space="0"/>
            </w:tcBorders>
            <w:shd w:val="clear" w:color="auto" w:fill="auto"/>
            <w:noWrap w:val="0"/>
            <w:vAlign w:val="center"/>
          </w:tcPr>
          <w:p w14:paraId="018D4AC1">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1325" w:type="dxa"/>
            <w:tcBorders>
              <w:top w:val="single" w:color="auto" w:sz="4" w:space="0"/>
              <w:left w:val="single" w:color="auto" w:sz="4" w:space="0"/>
            </w:tcBorders>
            <w:shd w:val="clear" w:color="auto" w:fill="auto"/>
            <w:noWrap w:val="0"/>
            <w:vAlign w:val="center"/>
          </w:tcPr>
          <w:p w14:paraId="52830D3D">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1318" w:type="dxa"/>
            <w:tcBorders>
              <w:top w:val="single" w:color="auto" w:sz="4" w:space="0"/>
              <w:left w:val="single" w:color="auto" w:sz="4" w:space="0"/>
            </w:tcBorders>
            <w:shd w:val="clear" w:color="auto" w:fill="auto"/>
            <w:noWrap w:val="0"/>
            <w:vAlign w:val="center"/>
          </w:tcPr>
          <w:p w14:paraId="7360018C">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965" w:type="dxa"/>
            <w:tcBorders>
              <w:top w:val="single" w:color="auto" w:sz="4" w:space="0"/>
              <w:left w:val="single" w:color="auto" w:sz="4" w:space="0"/>
            </w:tcBorders>
            <w:shd w:val="clear" w:color="auto" w:fill="auto"/>
            <w:noWrap w:val="0"/>
            <w:vAlign w:val="center"/>
          </w:tcPr>
          <w:p w14:paraId="52ED2C60">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958" w:type="dxa"/>
            <w:tcBorders>
              <w:top w:val="single" w:color="auto" w:sz="4" w:space="0"/>
              <w:left w:val="single" w:color="auto" w:sz="4" w:space="0"/>
            </w:tcBorders>
            <w:shd w:val="clear" w:color="auto" w:fill="auto"/>
            <w:noWrap w:val="0"/>
            <w:vAlign w:val="center"/>
          </w:tcPr>
          <w:p w14:paraId="25B90DBD">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986" w:type="dxa"/>
            <w:tcBorders>
              <w:top w:val="single" w:color="auto" w:sz="4" w:space="0"/>
              <w:left w:val="single" w:color="auto" w:sz="4" w:space="0"/>
              <w:right w:val="single" w:color="auto" w:sz="4" w:space="0"/>
            </w:tcBorders>
            <w:shd w:val="clear" w:color="auto" w:fill="auto"/>
            <w:noWrap w:val="0"/>
            <w:vAlign w:val="center"/>
          </w:tcPr>
          <w:p w14:paraId="02B7D0FE">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r>
      <w:tr w14:paraId="62C62B6D">
        <w:tblPrEx>
          <w:shd w:val="clear" w:color="auto" w:fill="auto"/>
          <w:tblCellMar>
            <w:top w:w="0" w:type="dxa"/>
            <w:left w:w="10" w:type="dxa"/>
            <w:bottom w:w="0" w:type="dxa"/>
            <w:right w:w="10" w:type="dxa"/>
          </w:tblCellMar>
        </w:tblPrEx>
        <w:trPr>
          <w:trHeight w:val="504" w:hRule="exact"/>
          <w:jc w:val="center"/>
        </w:trPr>
        <w:tc>
          <w:tcPr>
            <w:tcW w:w="756" w:type="dxa"/>
            <w:tcBorders>
              <w:top w:val="single" w:color="auto" w:sz="4" w:space="0"/>
              <w:left w:val="single" w:color="auto" w:sz="4" w:space="0"/>
            </w:tcBorders>
            <w:shd w:val="clear" w:color="auto" w:fill="auto"/>
            <w:noWrap w:val="0"/>
            <w:vAlign w:val="center"/>
          </w:tcPr>
          <w:p w14:paraId="4C8085DE">
            <w:pPr>
              <w:pStyle w:val="16"/>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i w:val="0"/>
                <w:iCs w:val="0"/>
                <w:sz w:val="21"/>
                <w:szCs w:val="21"/>
                <w:u w:val="none"/>
              </w:rPr>
            </w:pPr>
            <w:r>
              <w:rPr>
                <w:rFonts w:hint="eastAsia" w:ascii="宋体" w:hAnsi="宋体" w:eastAsia="宋体" w:cs="宋体"/>
                <w:i w:val="0"/>
                <w:iCs w:val="0"/>
                <w:color w:val="000000"/>
                <w:sz w:val="21"/>
                <w:szCs w:val="21"/>
                <w:u w:val="none"/>
              </w:rPr>
              <w:t>4</w:t>
            </w:r>
          </w:p>
        </w:tc>
        <w:tc>
          <w:tcPr>
            <w:tcW w:w="1318" w:type="dxa"/>
            <w:tcBorders>
              <w:top w:val="single" w:color="auto" w:sz="4" w:space="0"/>
              <w:left w:val="single" w:color="auto" w:sz="4" w:space="0"/>
            </w:tcBorders>
            <w:shd w:val="clear" w:color="auto" w:fill="auto"/>
            <w:noWrap w:val="0"/>
            <w:vAlign w:val="center"/>
          </w:tcPr>
          <w:p w14:paraId="57BD5B21">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1310" w:type="dxa"/>
            <w:tcBorders>
              <w:top w:val="single" w:color="auto" w:sz="4" w:space="0"/>
              <w:left w:val="single" w:color="auto" w:sz="4" w:space="0"/>
            </w:tcBorders>
            <w:shd w:val="clear" w:color="auto" w:fill="auto"/>
            <w:noWrap w:val="0"/>
            <w:vAlign w:val="center"/>
          </w:tcPr>
          <w:p w14:paraId="4E98C620">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1325" w:type="dxa"/>
            <w:tcBorders>
              <w:top w:val="single" w:color="auto" w:sz="4" w:space="0"/>
              <w:left w:val="single" w:color="auto" w:sz="4" w:space="0"/>
            </w:tcBorders>
            <w:shd w:val="clear" w:color="auto" w:fill="auto"/>
            <w:noWrap w:val="0"/>
            <w:vAlign w:val="center"/>
          </w:tcPr>
          <w:p w14:paraId="4CDB6D5E">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1318" w:type="dxa"/>
            <w:tcBorders>
              <w:top w:val="single" w:color="auto" w:sz="4" w:space="0"/>
              <w:left w:val="single" w:color="auto" w:sz="4" w:space="0"/>
            </w:tcBorders>
            <w:shd w:val="clear" w:color="auto" w:fill="auto"/>
            <w:noWrap w:val="0"/>
            <w:vAlign w:val="center"/>
          </w:tcPr>
          <w:p w14:paraId="3EAE6A56">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965" w:type="dxa"/>
            <w:tcBorders>
              <w:top w:val="single" w:color="auto" w:sz="4" w:space="0"/>
              <w:left w:val="single" w:color="auto" w:sz="4" w:space="0"/>
            </w:tcBorders>
            <w:shd w:val="clear" w:color="auto" w:fill="auto"/>
            <w:noWrap w:val="0"/>
            <w:vAlign w:val="center"/>
          </w:tcPr>
          <w:p w14:paraId="2AE9AA26">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958" w:type="dxa"/>
            <w:tcBorders>
              <w:top w:val="single" w:color="auto" w:sz="4" w:space="0"/>
              <w:left w:val="single" w:color="auto" w:sz="4" w:space="0"/>
            </w:tcBorders>
            <w:shd w:val="clear" w:color="auto" w:fill="auto"/>
            <w:noWrap w:val="0"/>
            <w:vAlign w:val="center"/>
          </w:tcPr>
          <w:p w14:paraId="5674551E">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986" w:type="dxa"/>
            <w:tcBorders>
              <w:top w:val="single" w:color="auto" w:sz="4" w:space="0"/>
              <w:left w:val="single" w:color="auto" w:sz="4" w:space="0"/>
              <w:right w:val="single" w:color="auto" w:sz="4" w:space="0"/>
            </w:tcBorders>
            <w:shd w:val="clear" w:color="auto" w:fill="auto"/>
            <w:noWrap w:val="0"/>
            <w:vAlign w:val="center"/>
          </w:tcPr>
          <w:p w14:paraId="5D1B4B7F">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r>
      <w:tr w14:paraId="267CFDC9">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auto"/>
            <w:noWrap w:val="0"/>
            <w:vAlign w:val="center"/>
          </w:tcPr>
          <w:p w14:paraId="717962B2">
            <w:pPr>
              <w:pStyle w:val="16"/>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i w:val="0"/>
                <w:iCs w:val="0"/>
                <w:sz w:val="21"/>
                <w:szCs w:val="21"/>
                <w:u w:val="none"/>
              </w:rPr>
            </w:pPr>
            <w:r>
              <w:rPr>
                <w:rFonts w:hint="eastAsia" w:ascii="宋体" w:hAnsi="宋体" w:eastAsia="宋体" w:cs="宋体"/>
                <w:i w:val="0"/>
                <w:iCs w:val="0"/>
                <w:color w:val="000000"/>
                <w:sz w:val="21"/>
                <w:szCs w:val="21"/>
                <w:u w:val="none"/>
              </w:rPr>
              <w:t>5</w:t>
            </w:r>
          </w:p>
        </w:tc>
        <w:tc>
          <w:tcPr>
            <w:tcW w:w="1318" w:type="dxa"/>
            <w:tcBorders>
              <w:top w:val="single" w:color="auto" w:sz="4" w:space="0"/>
              <w:left w:val="single" w:color="auto" w:sz="4" w:space="0"/>
            </w:tcBorders>
            <w:shd w:val="clear" w:color="auto" w:fill="auto"/>
            <w:noWrap w:val="0"/>
            <w:vAlign w:val="center"/>
          </w:tcPr>
          <w:p w14:paraId="6F554C6C">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1310" w:type="dxa"/>
            <w:tcBorders>
              <w:top w:val="single" w:color="auto" w:sz="4" w:space="0"/>
              <w:left w:val="single" w:color="auto" w:sz="4" w:space="0"/>
            </w:tcBorders>
            <w:shd w:val="clear" w:color="auto" w:fill="auto"/>
            <w:noWrap w:val="0"/>
            <w:vAlign w:val="center"/>
          </w:tcPr>
          <w:p w14:paraId="10B1097F">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1325" w:type="dxa"/>
            <w:tcBorders>
              <w:top w:val="single" w:color="auto" w:sz="4" w:space="0"/>
              <w:left w:val="single" w:color="auto" w:sz="4" w:space="0"/>
            </w:tcBorders>
            <w:shd w:val="clear" w:color="auto" w:fill="auto"/>
            <w:noWrap w:val="0"/>
            <w:vAlign w:val="center"/>
          </w:tcPr>
          <w:p w14:paraId="66E99151">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1318" w:type="dxa"/>
            <w:tcBorders>
              <w:top w:val="single" w:color="auto" w:sz="4" w:space="0"/>
              <w:left w:val="single" w:color="auto" w:sz="4" w:space="0"/>
            </w:tcBorders>
            <w:shd w:val="clear" w:color="auto" w:fill="auto"/>
            <w:noWrap w:val="0"/>
            <w:vAlign w:val="center"/>
          </w:tcPr>
          <w:p w14:paraId="18942DE0">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965" w:type="dxa"/>
            <w:tcBorders>
              <w:top w:val="single" w:color="auto" w:sz="4" w:space="0"/>
              <w:left w:val="single" w:color="auto" w:sz="4" w:space="0"/>
            </w:tcBorders>
            <w:shd w:val="clear" w:color="auto" w:fill="auto"/>
            <w:noWrap w:val="0"/>
            <w:vAlign w:val="center"/>
          </w:tcPr>
          <w:p w14:paraId="0CFED31F">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958" w:type="dxa"/>
            <w:tcBorders>
              <w:top w:val="single" w:color="auto" w:sz="4" w:space="0"/>
              <w:left w:val="single" w:color="auto" w:sz="4" w:space="0"/>
            </w:tcBorders>
            <w:shd w:val="clear" w:color="auto" w:fill="auto"/>
            <w:noWrap w:val="0"/>
            <w:vAlign w:val="center"/>
          </w:tcPr>
          <w:p w14:paraId="5C4CA463">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c>
          <w:tcPr>
            <w:tcW w:w="986" w:type="dxa"/>
            <w:tcBorders>
              <w:top w:val="single" w:color="auto" w:sz="4" w:space="0"/>
              <w:left w:val="single" w:color="auto" w:sz="4" w:space="0"/>
              <w:right w:val="single" w:color="auto" w:sz="4" w:space="0"/>
            </w:tcBorders>
            <w:shd w:val="clear" w:color="auto" w:fill="auto"/>
            <w:noWrap w:val="0"/>
            <w:vAlign w:val="center"/>
          </w:tcPr>
          <w:p w14:paraId="4B3C5892">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r>
      <w:tr w14:paraId="0F8EB298">
        <w:tblPrEx>
          <w:shd w:val="clear" w:color="auto" w:fill="auto"/>
          <w:tblCellMar>
            <w:top w:w="0" w:type="dxa"/>
            <w:left w:w="10" w:type="dxa"/>
            <w:bottom w:w="0" w:type="dxa"/>
            <w:right w:w="10" w:type="dxa"/>
          </w:tblCellMar>
        </w:tblPrEx>
        <w:trPr>
          <w:trHeight w:val="504" w:hRule="exact"/>
          <w:jc w:val="center"/>
        </w:trPr>
        <w:tc>
          <w:tcPr>
            <w:tcW w:w="756" w:type="dxa"/>
            <w:tcBorders>
              <w:top w:val="single" w:color="auto" w:sz="4" w:space="0"/>
              <w:left w:val="single" w:color="auto" w:sz="4" w:space="0"/>
            </w:tcBorders>
            <w:shd w:val="clear" w:color="auto" w:fill="auto"/>
            <w:noWrap w:val="0"/>
            <w:vAlign w:val="center"/>
          </w:tcPr>
          <w:p w14:paraId="712E9EB3">
            <w:pPr>
              <w:pStyle w:val="16"/>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color w:val="000000"/>
                <w:sz w:val="21"/>
                <w:szCs w:val="21"/>
              </w:rPr>
              <w:t>合计</w:t>
            </w:r>
          </w:p>
        </w:tc>
        <w:tc>
          <w:tcPr>
            <w:tcW w:w="8180" w:type="dxa"/>
            <w:gridSpan w:val="7"/>
            <w:tcBorders>
              <w:top w:val="single" w:color="auto" w:sz="4" w:space="0"/>
              <w:left w:val="single" w:color="auto" w:sz="4" w:space="0"/>
              <w:right w:val="single" w:color="auto" w:sz="4" w:space="0"/>
            </w:tcBorders>
            <w:shd w:val="clear" w:color="auto" w:fill="auto"/>
            <w:noWrap w:val="0"/>
            <w:vAlign w:val="center"/>
          </w:tcPr>
          <w:p w14:paraId="5BB6342A">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r>
      <w:tr w14:paraId="0C12F46E">
        <w:tblPrEx>
          <w:tblCellMar>
            <w:top w:w="0" w:type="dxa"/>
            <w:left w:w="10" w:type="dxa"/>
            <w:bottom w:w="0" w:type="dxa"/>
            <w:right w:w="10" w:type="dxa"/>
          </w:tblCellMar>
        </w:tblPrEx>
        <w:trPr>
          <w:trHeight w:val="526" w:hRule="exact"/>
          <w:jc w:val="center"/>
        </w:trPr>
        <w:tc>
          <w:tcPr>
            <w:tcW w:w="756" w:type="dxa"/>
            <w:tcBorders>
              <w:top w:val="single" w:color="auto" w:sz="4" w:space="0"/>
              <w:left w:val="single" w:color="auto" w:sz="4" w:space="0"/>
              <w:bottom w:val="single" w:color="auto" w:sz="4" w:space="0"/>
            </w:tcBorders>
            <w:shd w:val="clear" w:color="auto" w:fill="auto"/>
            <w:noWrap w:val="0"/>
            <w:vAlign w:val="center"/>
          </w:tcPr>
          <w:p w14:paraId="29A026AC">
            <w:pPr>
              <w:pStyle w:val="16"/>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color w:val="000000"/>
                <w:sz w:val="21"/>
                <w:szCs w:val="21"/>
              </w:rPr>
              <w:t>备注</w:t>
            </w:r>
          </w:p>
        </w:tc>
        <w:tc>
          <w:tcPr>
            <w:tcW w:w="8180" w:type="dxa"/>
            <w:gridSpan w:val="7"/>
            <w:tcBorders>
              <w:top w:val="single" w:color="auto" w:sz="4" w:space="0"/>
              <w:left w:val="single" w:color="auto" w:sz="4" w:space="0"/>
              <w:bottom w:val="single" w:color="auto" w:sz="4" w:space="0"/>
              <w:right w:val="single" w:color="auto" w:sz="4" w:space="0"/>
            </w:tcBorders>
            <w:shd w:val="clear" w:color="auto" w:fill="auto"/>
            <w:noWrap w:val="0"/>
            <w:vAlign w:val="center"/>
          </w:tcPr>
          <w:p w14:paraId="3D7BBD9D">
            <w:pPr>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p>
        </w:tc>
      </w:tr>
    </w:tbl>
    <w:p w14:paraId="06FBC457">
      <w:pPr>
        <w:pStyle w:val="15"/>
        <w:keepNext w:val="0"/>
        <w:keepLines w:val="0"/>
        <w:pageBreakBefore w:val="0"/>
        <w:widowControl w:val="0"/>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（上表仅供参考,应根据项目具体内容修改填写</w:t>
      </w:r>
      <w:r>
        <w:rPr>
          <w:rFonts w:hint="eastAsia" w:cs="宋体"/>
          <w:color w:val="000000"/>
          <w:sz w:val="21"/>
          <w:szCs w:val="21"/>
          <w:lang w:eastAsia="zh-CN"/>
        </w:rPr>
        <w:t>,</w:t>
      </w:r>
      <w:r>
        <w:rPr>
          <w:rFonts w:hint="eastAsia" w:ascii="宋体" w:hAnsi="宋体" w:eastAsia="宋体" w:cs="宋体"/>
          <w:color w:val="000000"/>
          <w:sz w:val="21"/>
          <w:szCs w:val="21"/>
        </w:rPr>
        <w:t>服务内容及明细标准可附附件或详见</w:t>
      </w:r>
      <w:r>
        <w:rPr>
          <w:rFonts w:hint="eastAsia" w:cs="宋体"/>
          <w:color w:val="000000"/>
          <w:sz w:val="21"/>
          <w:szCs w:val="21"/>
          <w:lang w:val="en-US" w:eastAsia="zh-CN"/>
        </w:rPr>
        <w:t>响应文件</w:t>
      </w:r>
      <w:r>
        <w:rPr>
          <w:rFonts w:hint="eastAsia" w:ascii="宋体" w:hAnsi="宋体" w:eastAsia="宋体" w:cs="宋体"/>
          <w:color w:val="000000"/>
          <w:sz w:val="21"/>
          <w:szCs w:val="21"/>
        </w:rPr>
        <w:t>，需说明清楚）</w:t>
      </w:r>
    </w:p>
    <w:p w14:paraId="3090CFB8">
      <w:pPr>
        <w:pStyle w:val="13"/>
        <w:keepNext w:val="0"/>
        <w:keepLines w:val="0"/>
        <w:pageBreakBefore w:val="0"/>
        <w:widowControl w:val="0"/>
        <w:kinsoku/>
        <w:wordWrap/>
        <w:overflowPunct/>
        <w:topLinePunct w:val="0"/>
        <w:autoSpaceDE w:val="0"/>
        <w:autoSpaceDN w:val="0"/>
        <w:bidi w:val="0"/>
        <w:adjustRightInd/>
        <w:snapToGrid/>
        <w:spacing w:line="360" w:lineRule="auto"/>
        <w:ind w:left="0" w:firstLine="422" w:firstLineChars="200"/>
        <w:jc w:val="left"/>
        <w:textAlignment w:val="auto"/>
        <w:rPr>
          <w:rFonts w:hint="eastAsia" w:ascii="宋体" w:hAnsi="宋体" w:eastAsia="宋体" w:cs="宋体"/>
          <w:b/>
          <w:bCs/>
          <w:i w:val="0"/>
          <w:iCs w:val="0"/>
          <w:sz w:val="21"/>
          <w:szCs w:val="21"/>
          <w:lang w:val="en-US" w:eastAsia="zh-CN"/>
        </w:rPr>
      </w:pPr>
      <w:r>
        <w:rPr>
          <w:rFonts w:hint="eastAsia" w:ascii="宋体" w:hAnsi="宋体" w:eastAsia="宋体" w:cs="宋体"/>
          <w:b/>
          <w:bCs/>
          <w:i w:val="0"/>
          <w:iCs w:val="0"/>
          <w:color w:val="000000"/>
          <w:sz w:val="21"/>
          <w:szCs w:val="21"/>
        </w:rPr>
        <w:t>二、服</w:t>
      </w:r>
      <w:r>
        <w:rPr>
          <w:rFonts w:hint="eastAsia" w:ascii="宋体" w:hAnsi="宋体" w:eastAsia="宋体" w:cs="宋体"/>
          <w:b/>
          <w:bCs/>
          <w:i w:val="0"/>
          <w:iCs w:val="0"/>
          <w:color w:val="000000"/>
          <w:sz w:val="21"/>
          <w:szCs w:val="21"/>
          <w:lang w:val="en-US" w:eastAsia="zh-CN"/>
        </w:rPr>
        <w:t>务条件：</w:t>
      </w:r>
    </w:p>
    <w:p w14:paraId="420547CF">
      <w:pPr>
        <w:pStyle w:val="14"/>
        <w:keepNext w:val="0"/>
        <w:keepLines w:val="0"/>
        <w:pageBreakBefore w:val="0"/>
        <w:widowControl w:val="0"/>
        <w:tabs>
          <w:tab w:val="left" w:pos="1338"/>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i w:val="0"/>
          <w:iCs w:val="0"/>
          <w:sz w:val="21"/>
          <w:szCs w:val="21"/>
        </w:rPr>
      </w:pPr>
      <w:bookmarkStart w:id="4" w:name="bookmark1073"/>
      <w:r>
        <w:rPr>
          <w:rFonts w:hint="eastAsia" w:ascii="宋体" w:hAnsi="宋体" w:eastAsia="宋体" w:cs="宋体"/>
          <w:i w:val="0"/>
          <w:iCs w:val="0"/>
          <w:color w:val="000000"/>
          <w:sz w:val="21"/>
          <w:szCs w:val="21"/>
        </w:rPr>
        <w:t>（</w:t>
      </w:r>
      <w:bookmarkEnd w:id="4"/>
      <w:r>
        <w:rPr>
          <w:rFonts w:hint="eastAsia" w:ascii="宋体" w:hAnsi="宋体" w:eastAsia="宋体" w:cs="宋体"/>
          <w:i w:val="0"/>
          <w:iCs w:val="0"/>
          <w:color w:val="000000"/>
          <w:sz w:val="21"/>
          <w:szCs w:val="21"/>
        </w:rPr>
        <w:t>一）服务地点：</w:t>
      </w:r>
      <w:r>
        <w:rPr>
          <w:rFonts w:hint="eastAsia" w:cs="宋体"/>
          <w:i w:val="0"/>
          <w:iCs w:val="0"/>
          <w:color w:val="000000"/>
          <w:sz w:val="21"/>
          <w:szCs w:val="21"/>
          <w:lang w:val="en-US" w:eastAsia="zh-CN"/>
        </w:rPr>
        <w:t>西安市公共资源交易中心</w:t>
      </w:r>
      <w:r>
        <w:rPr>
          <w:rFonts w:hint="eastAsia" w:ascii="宋体" w:hAnsi="宋体" w:eastAsia="宋体" w:cs="宋体"/>
          <w:i w:val="0"/>
          <w:iCs w:val="0"/>
          <w:color w:val="000000"/>
          <w:sz w:val="21"/>
          <w:szCs w:val="21"/>
        </w:rPr>
        <w:t>。</w:t>
      </w:r>
    </w:p>
    <w:p w14:paraId="54A6FFBF">
      <w:pPr>
        <w:pStyle w:val="14"/>
        <w:keepNext w:val="0"/>
        <w:keepLines w:val="0"/>
        <w:pageBreakBefore w:val="0"/>
        <w:widowControl w:val="0"/>
        <w:tabs>
          <w:tab w:val="left" w:pos="1346"/>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i w:val="0"/>
          <w:iCs w:val="0"/>
          <w:sz w:val="21"/>
          <w:szCs w:val="21"/>
        </w:rPr>
      </w:pPr>
      <w:bookmarkStart w:id="5" w:name="bookmark1074"/>
      <w:r>
        <w:rPr>
          <w:rFonts w:hint="eastAsia" w:ascii="宋体" w:hAnsi="宋体" w:eastAsia="宋体" w:cs="宋体"/>
          <w:i w:val="0"/>
          <w:iCs w:val="0"/>
          <w:color w:val="000000"/>
          <w:sz w:val="21"/>
          <w:szCs w:val="21"/>
        </w:rPr>
        <w:t>（</w:t>
      </w:r>
      <w:bookmarkEnd w:id="5"/>
      <w:r>
        <w:rPr>
          <w:rFonts w:hint="eastAsia" w:ascii="宋体" w:hAnsi="宋体" w:eastAsia="宋体" w:cs="宋体"/>
          <w:i w:val="0"/>
          <w:iCs w:val="0"/>
          <w:color w:val="000000"/>
          <w:sz w:val="21"/>
          <w:szCs w:val="21"/>
        </w:rPr>
        <w:t>二）服务期：</w:t>
      </w:r>
      <w:r>
        <w:rPr>
          <w:rFonts w:hint="eastAsia" w:ascii="宋体" w:hAnsi="宋体" w:eastAsia="宋体" w:cs="宋体"/>
          <w:i w:val="0"/>
          <w:iCs w:val="0"/>
          <w:color w:val="000000"/>
          <w:sz w:val="21"/>
          <w:szCs w:val="21"/>
          <w:u w:val="single"/>
          <w:lang w:val="en-US" w:eastAsia="zh-CN"/>
        </w:rPr>
        <w:t xml:space="preserve">    </w:t>
      </w:r>
      <w:r>
        <w:rPr>
          <w:rFonts w:hint="eastAsia" w:ascii="宋体" w:hAnsi="宋体" w:eastAsia="宋体" w:cs="宋体"/>
          <w:i w:val="0"/>
          <w:iCs w:val="0"/>
          <w:color w:val="000000"/>
          <w:sz w:val="21"/>
          <w:szCs w:val="21"/>
          <w:lang w:val="en-US" w:eastAsia="zh-CN"/>
        </w:rPr>
        <w:t>月</w:t>
      </w:r>
      <w:r>
        <w:rPr>
          <w:rFonts w:hint="eastAsia" w:ascii="宋体" w:hAnsi="宋体" w:eastAsia="宋体" w:cs="宋体"/>
          <w:i w:val="0"/>
          <w:iCs w:val="0"/>
          <w:color w:val="000000"/>
          <w:sz w:val="21"/>
          <w:szCs w:val="21"/>
        </w:rPr>
        <w:t>。</w:t>
      </w:r>
    </w:p>
    <w:p w14:paraId="529FF071">
      <w:pPr>
        <w:pStyle w:val="13"/>
        <w:keepNext w:val="0"/>
        <w:keepLines w:val="0"/>
        <w:pageBreakBefore w:val="0"/>
        <w:widowControl w:val="0"/>
        <w:tabs>
          <w:tab w:val="left" w:pos="984"/>
        </w:tabs>
        <w:kinsoku/>
        <w:wordWrap/>
        <w:overflowPunct/>
        <w:topLinePunct w:val="0"/>
        <w:autoSpaceDE w:val="0"/>
        <w:autoSpaceDN w:val="0"/>
        <w:bidi w:val="0"/>
        <w:adjustRightInd/>
        <w:snapToGrid/>
        <w:spacing w:line="360" w:lineRule="auto"/>
        <w:ind w:left="0" w:firstLine="422" w:firstLineChars="200"/>
        <w:jc w:val="left"/>
        <w:textAlignment w:val="auto"/>
        <w:rPr>
          <w:rFonts w:hint="eastAsia" w:ascii="宋体" w:hAnsi="宋体" w:eastAsia="宋体" w:cs="宋体"/>
          <w:b/>
          <w:bCs/>
          <w:i w:val="0"/>
          <w:iCs w:val="0"/>
          <w:sz w:val="21"/>
          <w:szCs w:val="21"/>
        </w:rPr>
      </w:pPr>
      <w:bookmarkStart w:id="6" w:name="bookmark1075"/>
      <w:r>
        <w:rPr>
          <w:rFonts w:hint="eastAsia" w:ascii="宋体" w:hAnsi="宋体" w:eastAsia="宋体" w:cs="宋体"/>
          <w:b/>
          <w:bCs/>
          <w:i w:val="0"/>
          <w:iCs w:val="0"/>
          <w:color w:val="000000"/>
          <w:sz w:val="21"/>
          <w:szCs w:val="21"/>
        </w:rPr>
        <w:t>三</w:t>
      </w:r>
      <w:bookmarkEnd w:id="6"/>
      <w:r>
        <w:rPr>
          <w:rFonts w:hint="eastAsia" w:ascii="宋体" w:hAnsi="宋体" w:eastAsia="宋体" w:cs="宋体"/>
          <w:b/>
          <w:bCs/>
          <w:i w:val="0"/>
          <w:iCs w:val="0"/>
          <w:color w:val="000000"/>
          <w:sz w:val="21"/>
          <w:szCs w:val="21"/>
        </w:rPr>
        <w:t>、合同价款</w:t>
      </w:r>
    </w:p>
    <w:p w14:paraId="48B199ED">
      <w:pPr>
        <w:pStyle w:val="14"/>
        <w:keepNext w:val="0"/>
        <w:keepLines w:val="0"/>
        <w:pageBreakBefore w:val="0"/>
        <w:widowControl w:val="0"/>
        <w:tabs>
          <w:tab w:val="left" w:pos="1338"/>
          <w:tab w:val="left" w:pos="6805"/>
          <w:tab w:val="left" w:pos="8209"/>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i w:val="0"/>
          <w:iCs w:val="0"/>
          <w:sz w:val="21"/>
          <w:szCs w:val="21"/>
        </w:rPr>
      </w:pPr>
      <w:bookmarkStart w:id="7" w:name="bookmark1076"/>
      <w:r>
        <w:rPr>
          <w:rFonts w:hint="eastAsia" w:ascii="宋体" w:hAnsi="宋体" w:eastAsia="宋体" w:cs="宋体"/>
          <w:i w:val="0"/>
          <w:iCs w:val="0"/>
          <w:color w:val="000000"/>
          <w:sz w:val="21"/>
          <w:szCs w:val="21"/>
        </w:rPr>
        <w:t>（</w:t>
      </w:r>
      <w:bookmarkEnd w:id="7"/>
      <w:r>
        <w:rPr>
          <w:rFonts w:hint="eastAsia" w:ascii="宋体" w:hAnsi="宋体" w:eastAsia="宋体" w:cs="宋体"/>
          <w:i w:val="0"/>
          <w:iCs w:val="0"/>
          <w:color w:val="000000"/>
          <w:sz w:val="21"/>
          <w:szCs w:val="21"/>
        </w:rPr>
        <w:t>一）合同总价款为人民币（大写）</w:t>
      </w:r>
      <w:r>
        <w:rPr>
          <w:rFonts w:hint="eastAsia" w:cs="宋体"/>
          <w:color w:val="000000"/>
          <w:sz w:val="21"/>
          <w:szCs w:val="21"/>
          <w:u w:val="single"/>
          <w:lang w:val="en-US" w:eastAsia="zh-CN"/>
        </w:rPr>
        <w:t xml:space="preserve">                   </w:t>
      </w:r>
      <w:r>
        <w:rPr>
          <w:rFonts w:hint="eastAsia" w:cs="宋体"/>
          <w:i w:val="0"/>
          <w:iCs w:val="0"/>
          <w:color w:val="000000"/>
          <w:sz w:val="21"/>
          <w:szCs w:val="21"/>
          <w:lang w:eastAsia="zh-CN"/>
        </w:rPr>
        <w:t>；</w:t>
      </w:r>
      <w:r>
        <w:rPr>
          <w:rFonts w:hint="eastAsia" w:ascii="宋体" w:hAnsi="宋体" w:eastAsia="宋体" w:cs="宋体"/>
          <w:i w:val="0"/>
          <w:iCs w:val="0"/>
          <w:color w:val="000000"/>
          <w:sz w:val="21"/>
          <w:szCs w:val="21"/>
        </w:rPr>
        <w:t>¥</w:t>
      </w:r>
      <w:r>
        <w:rPr>
          <w:rFonts w:hint="eastAsia" w:cs="宋体"/>
          <w:color w:val="000000"/>
          <w:sz w:val="21"/>
          <w:szCs w:val="21"/>
          <w:u w:val="single"/>
          <w:lang w:val="en-US" w:eastAsia="zh-CN"/>
        </w:rPr>
        <w:t xml:space="preserve">                   </w:t>
      </w:r>
      <w:r>
        <w:rPr>
          <w:rFonts w:hint="eastAsia" w:ascii="宋体" w:hAnsi="宋体" w:eastAsia="宋体" w:cs="宋体"/>
          <w:i w:val="0"/>
          <w:iCs w:val="0"/>
          <w:color w:val="000000"/>
          <w:sz w:val="21"/>
          <w:szCs w:val="21"/>
        </w:rPr>
        <w:t>元。</w:t>
      </w:r>
    </w:p>
    <w:p w14:paraId="7B9F823D">
      <w:pPr>
        <w:pStyle w:val="14"/>
        <w:keepNext w:val="0"/>
        <w:keepLines w:val="0"/>
        <w:pageBreakBefore w:val="0"/>
        <w:widowControl w:val="0"/>
        <w:tabs>
          <w:tab w:val="left" w:pos="1346"/>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i w:val="0"/>
          <w:iCs w:val="0"/>
          <w:sz w:val="21"/>
          <w:szCs w:val="21"/>
          <w:lang w:eastAsia="zh-CN"/>
        </w:rPr>
      </w:pPr>
      <w:bookmarkStart w:id="8" w:name="bookmark1077"/>
      <w:r>
        <w:rPr>
          <w:rFonts w:hint="eastAsia" w:ascii="宋体" w:hAnsi="宋体" w:eastAsia="宋体" w:cs="宋体"/>
          <w:i w:val="0"/>
          <w:iCs w:val="0"/>
          <w:color w:val="000000"/>
          <w:sz w:val="21"/>
          <w:szCs w:val="21"/>
        </w:rPr>
        <w:t>（</w:t>
      </w:r>
      <w:bookmarkEnd w:id="8"/>
      <w:r>
        <w:rPr>
          <w:rFonts w:hint="eastAsia" w:ascii="宋体" w:hAnsi="宋体" w:eastAsia="宋体" w:cs="宋体"/>
          <w:i w:val="0"/>
          <w:iCs w:val="0"/>
          <w:color w:val="000000"/>
          <w:sz w:val="21"/>
          <w:szCs w:val="21"/>
        </w:rPr>
        <w:t>二）合同总价包括</w:t>
      </w:r>
      <w:r>
        <w:rPr>
          <w:rFonts w:hint="eastAsia" w:ascii="宋体" w:hAnsi="宋体" w:eastAsia="宋体" w:cs="宋体"/>
          <w:color w:val="auto"/>
          <w:sz w:val="21"/>
          <w:szCs w:val="21"/>
          <w:highlight w:val="none"/>
        </w:rPr>
        <w:t>但</w:t>
      </w:r>
      <w:r>
        <w:rPr>
          <w:rFonts w:hint="eastAsia" w:ascii="宋体" w:hAnsi="宋体" w:eastAsia="宋体" w:cs="宋体"/>
          <w:color w:val="auto"/>
          <w:sz w:val="21"/>
          <w:szCs w:val="21"/>
          <w:highlight w:val="none"/>
          <w:lang w:eastAsia="zh-CN"/>
        </w:rPr>
        <w:t>不限于</w:t>
      </w:r>
      <w:r>
        <w:rPr>
          <w:rFonts w:hint="eastAsia" w:hAnsi="宋体" w:cs="宋体"/>
          <w:color w:val="auto"/>
          <w:sz w:val="21"/>
          <w:szCs w:val="21"/>
          <w:highlight w:val="none"/>
          <w:lang w:eastAsia="zh-CN"/>
        </w:rPr>
        <w:t>人工费（含工资、人工费、社保、降温费、高温津贴、取暖费、慰问、体检等所有福利待遇）、</w:t>
      </w:r>
      <w:r>
        <w:rPr>
          <w:rFonts w:hint="eastAsia" w:cs="宋体"/>
          <w:color w:val="auto"/>
          <w:sz w:val="21"/>
          <w:szCs w:val="21"/>
          <w:highlight w:val="none"/>
          <w:lang w:val="en-US" w:eastAsia="zh-CN"/>
        </w:rPr>
        <w:t>耗材工具费</w:t>
      </w:r>
      <w:r>
        <w:rPr>
          <w:rFonts w:hint="eastAsia" w:ascii="宋体" w:hAnsi="宋体" w:eastAsia="宋体" w:cs="宋体"/>
          <w:color w:val="auto"/>
          <w:sz w:val="21"/>
          <w:szCs w:val="21"/>
          <w:highlight w:val="none"/>
          <w:lang w:eastAsia="zh-CN"/>
        </w:rPr>
        <w:t>、管理费、不可预见费用、利润</w:t>
      </w:r>
      <w:r>
        <w:rPr>
          <w:rFonts w:hint="eastAsia" w:ascii="宋体" w:hAnsi="宋体" w:eastAsia="宋体" w:cs="宋体"/>
          <w:color w:val="auto"/>
          <w:sz w:val="21"/>
          <w:szCs w:val="21"/>
          <w:highlight w:val="none"/>
        </w:rPr>
        <w:t>、税金等其他一切相关费用。</w:t>
      </w:r>
    </w:p>
    <w:p w14:paraId="71F15F10">
      <w:pPr>
        <w:pStyle w:val="14"/>
        <w:keepNext w:val="0"/>
        <w:keepLines w:val="0"/>
        <w:pageBreakBefore w:val="0"/>
        <w:widowControl w:val="0"/>
        <w:tabs>
          <w:tab w:val="left" w:pos="1346"/>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i w:val="0"/>
          <w:iCs w:val="0"/>
          <w:sz w:val="21"/>
          <w:szCs w:val="21"/>
        </w:rPr>
      </w:pPr>
      <w:bookmarkStart w:id="9" w:name="bookmark1078"/>
      <w:r>
        <w:rPr>
          <w:rFonts w:hint="eastAsia" w:ascii="宋体" w:hAnsi="宋体" w:eastAsia="宋体" w:cs="宋体"/>
          <w:i w:val="0"/>
          <w:iCs w:val="0"/>
          <w:color w:val="000000"/>
          <w:sz w:val="21"/>
          <w:szCs w:val="21"/>
        </w:rPr>
        <w:t>（</w:t>
      </w:r>
      <w:bookmarkEnd w:id="9"/>
      <w:r>
        <w:rPr>
          <w:rFonts w:hint="eastAsia" w:ascii="宋体" w:hAnsi="宋体" w:eastAsia="宋体" w:cs="宋体"/>
          <w:i w:val="0"/>
          <w:iCs w:val="0"/>
          <w:color w:val="000000"/>
          <w:sz w:val="21"/>
          <w:szCs w:val="21"/>
        </w:rPr>
        <w:t>三）合同总价一次性包死，不受市场价格变化因素的影响。</w:t>
      </w:r>
    </w:p>
    <w:p w14:paraId="73945042">
      <w:pPr>
        <w:pStyle w:val="13"/>
        <w:keepNext w:val="0"/>
        <w:keepLines w:val="0"/>
        <w:pageBreakBefore w:val="0"/>
        <w:widowControl w:val="0"/>
        <w:tabs>
          <w:tab w:val="left" w:pos="984"/>
        </w:tabs>
        <w:kinsoku/>
        <w:wordWrap/>
        <w:overflowPunct/>
        <w:topLinePunct w:val="0"/>
        <w:autoSpaceDE w:val="0"/>
        <w:autoSpaceDN w:val="0"/>
        <w:bidi w:val="0"/>
        <w:adjustRightInd/>
        <w:snapToGrid/>
        <w:spacing w:line="360" w:lineRule="auto"/>
        <w:ind w:left="0" w:firstLine="422" w:firstLineChars="200"/>
        <w:jc w:val="left"/>
        <w:textAlignment w:val="auto"/>
        <w:rPr>
          <w:rFonts w:hint="eastAsia" w:ascii="宋体" w:hAnsi="宋体" w:eastAsia="宋体" w:cs="宋体"/>
          <w:b/>
          <w:bCs/>
          <w:i w:val="0"/>
          <w:iCs w:val="0"/>
          <w:sz w:val="21"/>
          <w:szCs w:val="21"/>
        </w:rPr>
      </w:pPr>
      <w:bookmarkStart w:id="10" w:name="bookmark1079"/>
      <w:r>
        <w:rPr>
          <w:rFonts w:hint="eastAsia" w:ascii="宋体" w:hAnsi="宋体" w:eastAsia="宋体" w:cs="宋体"/>
          <w:b/>
          <w:bCs/>
          <w:i w:val="0"/>
          <w:iCs w:val="0"/>
          <w:color w:val="000000"/>
          <w:sz w:val="21"/>
          <w:szCs w:val="21"/>
        </w:rPr>
        <w:t>四</w:t>
      </w:r>
      <w:bookmarkEnd w:id="10"/>
      <w:r>
        <w:rPr>
          <w:rFonts w:hint="eastAsia" w:ascii="宋体" w:hAnsi="宋体" w:eastAsia="宋体" w:cs="宋体"/>
          <w:b/>
          <w:bCs/>
          <w:i w:val="0"/>
          <w:iCs w:val="0"/>
          <w:color w:val="000000"/>
          <w:sz w:val="21"/>
          <w:szCs w:val="21"/>
        </w:rPr>
        <w:t>、款项结算</w:t>
      </w:r>
    </w:p>
    <w:p w14:paraId="2B698857">
      <w:pPr>
        <w:pStyle w:val="14"/>
        <w:keepNext w:val="0"/>
        <w:keepLines w:val="0"/>
        <w:pageBreakBefore w:val="0"/>
        <w:widowControl w:val="0"/>
        <w:tabs>
          <w:tab w:val="left" w:pos="1402"/>
          <w:tab w:val="left" w:pos="3413"/>
          <w:tab w:val="left" w:pos="6444"/>
          <w:tab w:val="left" w:pos="7855"/>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i w:val="0"/>
          <w:iCs w:val="0"/>
          <w:sz w:val="21"/>
          <w:szCs w:val="21"/>
        </w:rPr>
      </w:pPr>
      <w:bookmarkStart w:id="11" w:name="bookmark1080"/>
      <w:r>
        <w:rPr>
          <w:rFonts w:hint="eastAsia" w:ascii="宋体" w:hAnsi="宋体" w:eastAsia="宋体" w:cs="宋体"/>
          <w:i w:val="0"/>
          <w:iCs w:val="0"/>
          <w:color w:val="000000"/>
          <w:sz w:val="21"/>
          <w:szCs w:val="21"/>
        </w:rPr>
        <w:t>（</w:t>
      </w:r>
      <w:bookmarkEnd w:id="11"/>
      <w:r>
        <w:rPr>
          <w:rFonts w:hint="eastAsia" w:ascii="宋体" w:hAnsi="宋体" w:eastAsia="宋体" w:cs="宋体"/>
          <w:i w:val="0"/>
          <w:iCs w:val="0"/>
          <w:color w:val="000000"/>
          <w:sz w:val="21"/>
          <w:szCs w:val="21"/>
        </w:rPr>
        <w:t>一）按季度支付</w:t>
      </w:r>
    </w:p>
    <w:p w14:paraId="36548CE2">
      <w:pPr>
        <w:pStyle w:val="14"/>
        <w:keepNext w:val="0"/>
        <w:keepLines w:val="0"/>
        <w:pageBreakBefore w:val="0"/>
        <w:widowControl w:val="0"/>
        <w:tabs>
          <w:tab w:val="left" w:pos="1338"/>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i w:val="0"/>
          <w:iCs w:val="0"/>
          <w:sz w:val="21"/>
          <w:szCs w:val="21"/>
        </w:rPr>
      </w:pPr>
      <w:bookmarkStart w:id="12" w:name="bookmark1082"/>
      <w:r>
        <w:rPr>
          <w:rFonts w:hint="eastAsia" w:ascii="宋体" w:hAnsi="宋体" w:eastAsia="宋体" w:cs="宋体"/>
          <w:i w:val="0"/>
          <w:iCs w:val="0"/>
          <w:color w:val="000000"/>
          <w:sz w:val="21"/>
          <w:szCs w:val="21"/>
        </w:rPr>
        <w:t>（</w:t>
      </w:r>
      <w:bookmarkEnd w:id="12"/>
      <w:r>
        <w:rPr>
          <w:rFonts w:hint="eastAsia" w:ascii="宋体" w:hAnsi="宋体" w:eastAsia="宋体" w:cs="宋体"/>
          <w:i w:val="0"/>
          <w:iCs w:val="0"/>
          <w:color w:val="000000"/>
          <w:sz w:val="21"/>
          <w:szCs w:val="21"/>
        </w:rPr>
        <w:t>二）支付方式：银行转账。</w:t>
      </w:r>
    </w:p>
    <w:p w14:paraId="23AD20AA">
      <w:pPr>
        <w:pStyle w:val="14"/>
        <w:keepNext w:val="0"/>
        <w:keepLines w:val="0"/>
        <w:pageBreakBefore w:val="0"/>
        <w:widowControl w:val="0"/>
        <w:tabs>
          <w:tab w:val="left" w:pos="1395"/>
          <w:tab w:val="left" w:pos="8374"/>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sz w:val="21"/>
          <w:szCs w:val="21"/>
        </w:rPr>
      </w:pPr>
      <w:bookmarkStart w:id="13" w:name="bookmark1083"/>
      <w:r>
        <w:rPr>
          <w:rFonts w:hint="eastAsia" w:ascii="宋体" w:hAnsi="宋体" w:eastAsia="宋体" w:cs="宋体"/>
          <w:color w:val="000000"/>
          <w:sz w:val="21"/>
          <w:szCs w:val="21"/>
        </w:rPr>
        <w:t>（</w:t>
      </w:r>
      <w:bookmarkEnd w:id="13"/>
      <w:r>
        <w:rPr>
          <w:rFonts w:hint="eastAsia" w:ascii="宋体" w:hAnsi="宋体" w:eastAsia="宋体" w:cs="宋体"/>
          <w:color w:val="000000"/>
          <w:sz w:val="21"/>
          <w:szCs w:val="21"/>
        </w:rPr>
        <w:t>三）结算方式：每次付款前乙方应向甲方提供合法有效的</w:t>
      </w:r>
      <w:r>
        <w:rPr>
          <w:rFonts w:hint="eastAsia" w:cs="宋体"/>
          <w:color w:val="000000"/>
          <w:sz w:val="21"/>
          <w:szCs w:val="21"/>
          <w:u w:val="single"/>
          <w:lang w:val="en-US" w:eastAsia="zh-CN"/>
        </w:rPr>
        <w:t xml:space="preserve">     </w:t>
      </w:r>
      <w:r>
        <w:rPr>
          <w:rFonts w:hint="eastAsia" w:ascii="宋体" w:hAnsi="宋体" w:eastAsia="宋体" w:cs="宋体"/>
          <w:color w:val="000000"/>
          <w:sz w:val="21"/>
          <w:szCs w:val="21"/>
        </w:rPr>
        <w:t>发票。 乙方持中标通知书、服务合同、发票，与甲方结算。</w:t>
      </w:r>
    </w:p>
    <w:p w14:paraId="451ADA78">
      <w:pPr>
        <w:pStyle w:val="13"/>
        <w:keepNext w:val="0"/>
        <w:keepLines w:val="0"/>
        <w:pageBreakBefore w:val="0"/>
        <w:widowControl w:val="0"/>
        <w:tabs>
          <w:tab w:val="left" w:pos="984"/>
        </w:tabs>
        <w:kinsoku/>
        <w:wordWrap/>
        <w:overflowPunct/>
        <w:topLinePunct w:val="0"/>
        <w:autoSpaceDE w:val="0"/>
        <w:autoSpaceDN w:val="0"/>
        <w:bidi w:val="0"/>
        <w:adjustRightInd/>
        <w:snapToGrid/>
        <w:spacing w:line="360" w:lineRule="auto"/>
        <w:ind w:left="0" w:firstLine="422" w:firstLineChars="200"/>
        <w:jc w:val="left"/>
        <w:textAlignment w:val="auto"/>
        <w:rPr>
          <w:rFonts w:hint="eastAsia" w:ascii="宋体" w:hAnsi="宋体" w:eastAsia="宋体" w:cs="宋体"/>
          <w:b/>
          <w:bCs/>
          <w:sz w:val="21"/>
          <w:szCs w:val="21"/>
        </w:rPr>
      </w:pPr>
      <w:bookmarkStart w:id="14" w:name="bookmark1084"/>
      <w:r>
        <w:rPr>
          <w:rFonts w:hint="eastAsia" w:ascii="宋体" w:hAnsi="宋体" w:eastAsia="宋体" w:cs="宋体"/>
          <w:b/>
          <w:bCs/>
          <w:color w:val="000000"/>
          <w:sz w:val="21"/>
          <w:szCs w:val="21"/>
        </w:rPr>
        <w:t>五</w:t>
      </w:r>
      <w:bookmarkEnd w:id="14"/>
      <w:r>
        <w:rPr>
          <w:rFonts w:hint="eastAsia" w:ascii="宋体" w:hAnsi="宋体" w:eastAsia="宋体" w:cs="宋体"/>
          <w:b/>
          <w:bCs/>
          <w:color w:val="000000"/>
          <w:sz w:val="21"/>
          <w:szCs w:val="21"/>
        </w:rPr>
        <w:t>、双方的权利和义务</w:t>
      </w:r>
    </w:p>
    <w:p w14:paraId="6226FD04">
      <w:pPr>
        <w:pStyle w:val="14"/>
        <w:keepNext w:val="0"/>
        <w:keepLines w:val="0"/>
        <w:pageBreakBefore w:val="0"/>
        <w:widowControl w:val="0"/>
        <w:tabs>
          <w:tab w:val="left" w:pos="1338"/>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sz w:val="21"/>
          <w:szCs w:val="21"/>
        </w:rPr>
      </w:pPr>
      <w:bookmarkStart w:id="15" w:name="bookmark1085"/>
      <w:r>
        <w:rPr>
          <w:rFonts w:hint="eastAsia" w:ascii="宋体" w:hAnsi="宋体" w:eastAsia="宋体" w:cs="宋体"/>
          <w:color w:val="000000"/>
          <w:sz w:val="21"/>
          <w:szCs w:val="21"/>
        </w:rPr>
        <w:t>（</w:t>
      </w:r>
      <w:bookmarkEnd w:id="15"/>
      <w:r>
        <w:rPr>
          <w:rFonts w:hint="eastAsia" w:ascii="宋体" w:hAnsi="宋体" w:eastAsia="宋体" w:cs="宋体"/>
          <w:color w:val="000000"/>
          <w:sz w:val="21"/>
          <w:szCs w:val="21"/>
        </w:rPr>
        <w:t>一）甲方的权利和义务</w:t>
      </w:r>
    </w:p>
    <w:p w14:paraId="1C917569">
      <w:pPr>
        <w:pStyle w:val="14"/>
        <w:keepNext w:val="0"/>
        <w:keepLines w:val="0"/>
        <w:pageBreakBefore w:val="0"/>
        <w:widowControl w:val="0"/>
        <w:tabs>
          <w:tab w:val="left" w:pos="1338"/>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bookmarkStart w:id="16" w:name="bookmark1086"/>
      <w:r>
        <w:rPr>
          <w:rFonts w:hint="eastAsia" w:ascii="宋体" w:hAnsi="宋体" w:eastAsia="宋体" w:cs="宋体"/>
          <w:color w:val="000000"/>
          <w:sz w:val="21"/>
          <w:szCs w:val="21"/>
        </w:rPr>
        <w:t>1、监督乙方提供</w:t>
      </w:r>
      <w:r>
        <w:rPr>
          <w:rFonts w:hint="eastAsia" w:cs="宋体"/>
          <w:color w:val="000000"/>
          <w:sz w:val="21"/>
          <w:szCs w:val="21"/>
          <w:lang w:val="en-US" w:eastAsia="zh-CN"/>
        </w:rPr>
        <w:t>交易服务咨询</w:t>
      </w:r>
      <w:r>
        <w:rPr>
          <w:rFonts w:hint="eastAsia" w:ascii="宋体" w:hAnsi="宋体" w:eastAsia="宋体" w:cs="宋体"/>
          <w:color w:val="000000"/>
          <w:sz w:val="21"/>
          <w:szCs w:val="21"/>
        </w:rPr>
        <w:t>，并不定期进行检查，对存在的问题提出整改要求。</w:t>
      </w:r>
    </w:p>
    <w:p w14:paraId="6BA75EDE">
      <w:pPr>
        <w:pStyle w:val="14"/>
        <w:keepNext w:val="0"/>
        <w:keepLines w:val="0"/>
        <w:pageBreakBefore w:val="0"/>
        <w:widowControl w:val="0"/>
        <w:tabs>
          <w:tab w:val="left" w:pos="1338"/>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乙方提供的服务达不到合同约定标准，甲方有权要求乙方限期整改，整改后仍达不到约定服务标准的，甲方可根据情况进行处罚，罚金5000-10000元，罚金从服务费用及履约保证金中扣除，如造成甲方经济损失的，乙方应予以赔偿。</w:t>
      </w:r>
    </w:p>
    <w:p w14:paraId="72495508">
      <w:pPr>
        <w:pStyle w:val="14"/>
        <w:keepNext w:val="0"/>
        <w:keepLines w:val="0"/>
        <w:pageBreakBefore w:val="0"/>
        <w:widowControl w:val="0"/>
        <w:tabs>
          <w:tab w:val="left" w:pos="1338"/>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3、为乙方提供必要的服务用房、相关政策资料，并在乙方服务期满且未获续约时予以收回。</w:t>
      </w:r>
    </w:p>
    <w:p w14:paraId="1F8C0EFC">
      <w:pPr>
        <w:pStyle w:val="14"/>
        <w:keepNext w:val="0"/>
        <w:keepLines w:val="0"/>
        <w:pageBreakBefore w:val="0"/>
        <w:widowControl w:val="0"/>
        <w:tabs>
          <w:tab w:val="left" w:pos="1338"/>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4、及时、足额向乙方支付服务费。</w:t>
      </w:r>
    </w:p>
    <w:p w14:paraId="4CEF1A6C">
      <w:pPr>
        <w:pStyle w:val="14"/>
        <w:keepNext w:val="0"/>
        <w:keepLines w:val="0"/>
        <w:pageBreakBefore w:val="0"/>
        <w:widowControl w:val="0"/>
        <w:tabs>
          <w:tab w:val="left" w:pos="1338"/>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w:t>
      </w:r>
      <w:bookmarkEnd w:id="16"/>
      <w:r>
        <w:rPr>
          <w:rFonts w:hint="eastAsia" w:ascii="宋体" w:hAnsi="宋体" w:eastAsia="宋体" w:cs="宋体"/>
          <w:color w:val="000000"/>
          <w:sz w:val="21"/>
          <w:szCs w:val="21"/>
        </w:rPr>
        <w:t>二）乙方的权利和义务</w:t>
      </w:r>
    </w:p>
    <w:p w14:paraId="0C312BF9">
      <w:pPr>
        <w:pStyle w:val="13"/>
        <w:keepNext w:val="0"/>
        <w:keepLines w:val="0"/>
        <w:pageBreakBefore w:val="0"/>
        <w:widowControl w:val="0"/>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1、制定并履行</w:t>
      </w:r>
      <w:r>
        <w:rPr>
          <w:rFonts w:hint="eastAsia" w:cs="宋体"/>
          <w:color w:val="000000"/>
          <w:sz w:val="21"/>
          <w:szCs w:val="21"/>
          <w:lang w:eastAsia="zh-CN"/>
        </w:rPr>
        <w:t>2025年交易咨询服务</w:t>
      </w:r>
      <w:r>
        <w:rPr>
          <w:rFonts w:hint="eastAsia" w:ascii="宋体" w:hAnsi="宋体" w:eastAsia="宋体" w:cs="宋体"/>
          <w:color w:val="000000"/>
          <w:sz w:val="21"/>
          <w:szCs w:val="21"/>
        </w:rPr>
        <w:t>管理制度、服务标准和相关工作方案，不得转包、分包本合同项目，不得将服务责任转给第三方。</w:t>
      </w:r>
    </w:p>
    <w:p w14:paraId="2587CC67">
      <w:pPr>
        <w:pStyle w:val="13"/>
        <w:keepNext w:val="0"/>
        <w:keepLines w:val="0"/>
        <w:pageBreakBefore w:val="0"/>
        <w:widowControl w:val="0"/>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2、依据本合同委托服务事项，向甲方提出合理化建议。</w:t>
      </w:r>
    </w:p>
    <w:p w14:paraId="67DA2935">
      <w:pPr>
        <w:pStyle w:val="13"/>
        <w:keepNext w:val="0"/>
        <w:keepLines w:val="0"/>
        <w:pageBreakBefore w:val="0"/>
        <w:widowControl w:val="0"/>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3、本合同终止，向甲方移交全部服务用房、设备、管理服务的档案材料及甲方采购的物品等，自购物品由乙方收回。</w:t>
      </w:r>
    </w:p>
    <w:p w14:paraId="563B8F1C">
      <w:pPr>
        <w:pStyle w:val="13"/>
        <w:keepNext w:val="0"/>
        <w:keepLines w:val="0"/>
        <w:pageBreakBefore w:val="0"/>
        <w:widowControl w:val="0"/>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4、乙方工作人员应遵纪守法、服从甲方管理，不得泄露秘密。乙方应为员工购买工伤保险，乙方员工发生的工伤、安全责任事故与甲方无关。</w:t>
      </w:r>
    </w:p>
    <w:p w14:paraId="62AF652D">
      <w:pPr>
        <w:pStyle w:val="13"/>
        <w:keepNext w:val="0"/>
        <w:keepLines w:val="0"/>
        <w:pageBreakBefore w:val="0"/>
        <w:widowControl w:val="0"/>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5、若乙方在提供服务过程中，造成甲乙双方或者其他第三人任何人身或者财产损失的，均由乙方承担全部经济与法律责任，甲方不承担任何责任。</w:t>
      </w:r>
    </w:p>
    <w:p w14:paraId="61E24874">
      <w:pPr>
        <w:pStyle w:val="13"/>
        <w:keepNext w:val="0"/>
        <w:keepLines w:val="0"/>
        <w:pageBreakBefore w:val="0"/>
        <w:widowControl w:val="0"/>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6、爱护移交的资产以及为乙方开展服务提供的固定资产。因乙方管理失误导致的设施设备、失窃、失密等其他损失，由乙方承担责任，负责赔偿。</w:t>
      </w:r>
    </w:p>
    <w:p w14:paraId="4D437FAB">
      <w:pPr>
        <w:pStyle w:val="13"/>
        <w:keepNext w:val="0"/>
        <w:keepLines w:val="0"/>
        <w:pageBreakBefore w:val="0"/>
        <w:widowControl w:val="0"/>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7、对甲方交给乙方的所有资料，乙方指定专人管理，不得丢失、外借复制给无关人员传阅，不得在其他经营活动中使用。乙方及乙方工作人员在向甲方提供服务过程中，对涉及甲方相关信息必须严格保密，不得向任何第三方透露有关工作内容或相关信息。</w:t>
      </w:r>
    </w:p>
    <w:p w14:paraId="352871C9">
      <w:pPr>
        <w:pStyle w:val="13"/>
        <w:keepNext w:val="0"/>
        <w:keepLines w:val="0"/>
        <w:pageBreakBefore w:val="0"/>
        <w:widowControl w:val="0"/>
        <w:tabs>
          <w:tab w:val="left" w:pos="984"/>
        </w:tabs>
        <w:kinsoku/>
        <w:wordWrap/>
        <w:overflowPunct/>
        <w:topLinePunct w:val="0"/>
        <w:autoSpaceDE w:val="0"/>
        <w:autoSpaceDN w:val="0"/>
        <w:bidi w:val="0"/>
        <w:adjustRightInd/>
        <w:snapToGrid/>
        <w:spacing w:line="360" w:lineRule="auto"/>
        <w:ind w:left="0" w:firstLine="422" w:firstLineChars="200"/>
        <w:jc w:val="left"/>
        <w:textAlignment w:val="auto"/>
        <w:rPr>
          <w:rFonts w:hint="eastAsia" w:ascii="宋体" w:hAnsi="宋体" w:eastAsia="宋体" w:cs="宋体"/>
          <w:b/>
          <w:bCs/>
          <w:sz w:val="21"/>
          <w:szCs w:val="21"/>
        </w:rPr>
      </w:pPr>
      <w:bookmarkStart w:id="17" w:name="bookmark1087"/>
      <w:r>
        <w:rPr>
          <w:rFonts w:hint="eastAsia" w:ascii="宋体" w:hAnsi="宋体" w:eastAsia="宋体" w:cs="宋体"/>
          <w:b/>
          <w:bCs/>
          <w:color w:val="000000"/>
          <w:sz w:val="21"/>
          <w:szCs w:val="21"/>
        </w:rPr>
        <w:t>六</w:t>
      </w:r>
      <w:bookmarkEnd w:id="17"/>
      <w:r>
        <w:rPr>
          <w:rFonts w:hint="eastAsia" w:ascii="宋体" w:hAnsi="宋体" w:eastAsia="宋体" w:cs="宋体"/>
          <w:b/>
          <w:bCs/>
          <w:color w:val="000000"/>
          <w:sz w:val="21"/>
          <w:szCs w:val="21"/>
        </w:rPr>
        <w:t>、质量保证</w:t>
      </w:r>
    </w:p>
    <w:p w14:paraId="7CC8A5E0">
      <w:pPr>
        <w:pStyle w:val="13"/>
        <w:keepNext w:val="0"/>
        <w:keepLines w:val="0"/>
        <w:pageBreakBefore w:val="0"/>
        <w:widowControl w:val="0"/>
        <w:tabs>
          <w:tab w:val="left" w:pos="1440"/>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(一)乙方应按照甲方相关工作规定以及甲方要求，提供</w:t>
      </w:r>
      <w:r>
        <w:rPr>
          <w:rFonts w:hint="eastAsia" w:cs="宋体"/>
          <w:color w:val="000000"/>
          <w:sz w:val="21"/>
          <w:szCs w:val="21"/>
          <w:lang w:eastAsia="zh-CN"/>
        </w:rPr>
        <w:t>2025年交易咨询服务</w:t>
      </w:r>
      <w:r>
        <w:rPr>
          <w:rFonts w:hint="eastAsia" w:ascii="宋体" w:hAnsi="宋体" w:eastAsia="宋体" w:cs="宋体"/>
          <w:color w:val="000000"/>
          <w:sz w:val="21"/>
          <w:szCs w:val="21"/>
        </w:rPr>
        <w:t>，保证甲方各项工作顺利开展。</w:t>
      </w:r>
    </w:p>
    <w:p w14:paraId="61243FBD">
      <w:pPr>
        <w:pStyle w:val="13"/>
        <w:keepNext w:val="0"/>
        <w:keepLines w:val="0"/>
        <w:pageBreakBefore w:val="0"/>
        <w:widowControl w:val="0"/>
        <w:tabs>
          <w:tab w:val="left" w:pos="1440"/>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(二)咨询服务人员素质好、文明礼貌、行为规范、服务意识强，服务满意率达到 90%以上。</w:t>
      </w:r>
    </w:p>
    <w:p w14:paraId="3CF5C7D7">
      <w:pPr>
        <w:pStyle w:val="13"/>
        <w:keepNext w:val="0"/>
        <w:keepLines w:val="0"/>
        <w:pageBreakBefore w:val="0"/>
        <w:widowControl w:val="0"/>
        <w:tabs>
          <w:tab w:val="left" w:pos="1440"/>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(三)</w:t>
      </w:r>
      <w:r>
        <w:rPr>
          <w:rFonts w:hint="eastAsia" w:cs="宋体"/>
          <w:color w:val="000000"/>
          <w:sz w:val="21"/>
          <w:szCs w:val="21"/>
          <w:lang w:eastAsia="zh-CN"/>
        </w:rPr>
        <w:t>2025年交易咨询服务</w:t>
      </w:r>
      <w:r>
        <w:rPr>
          <w:rFonts w:hint="eastAsia" w:ascii="宋体" w:hAnsi="宋体" w:eastAsia="宋体" w:cs="宋体"/>
          <w:color w:val="000000"/>
          <w:sz w:val="21"/>
          <w:szCs w:val="21"/>
        </w:rPr>
        <w:t>标准及要求严格按照</w:t>
      </w:r>
      <w:r>
        <w:rPr>
          <w:rFonts w:hint="eastAsia" w:cs="宋体"/>
          <w:color w:val="000000"/>
          <w:sz w:val="21"/>
          <w:szCs w:val="21"/>
          <w:lang w:eastAsia="zh-CN"/>
        </w:rPr>
        <w:t>磋商文件</w:t>
      </w:r>
      <w:r>
        <w:rPr>
          <w:rFonts w:hint="eastAsia" w:ascii="宋体" w:hAnsi="宋体" w:eastAsia="宋体" w:cs="宋体"/>
          <w:color w:val="000000"/>
          <w:sz w:val="21"/>
          <w:szCs w:val="21"/>
        </w:rPr>
        <w:t>与合同约定执行。(四)乙方服务定编人数:</w:t>
      </w:r>
      <w:r>
        <w:rPr>
          <w:rFonts w:hint="eastAsia" w:cs="宋体"/>
          <w:color w:val="000000"/>
          <w:sz w:val="21"/>
          <w:szCs w:val="21"/>
          <w:lang w:eastAsia="zh-CN"/>
        </w:rPr>
        <w:t>2025年交易咨询服务</w:t>
      </w:r>
      <w:r>
        <w:rPr>
          <w:rFonts w:hint="eastAsia" w:ascii="宋体" w:hAnsi="宋体" w:eastAsia="宋体" w:cs="宋体"/>
          <w:color w:val="000000"/>
          <w:sz w:val="21"/>
          <w:szCs w:val="21"/>
        </w:rPr>
        <w:t>不少于19人，年龄35岁以下，其中管理人员1人，工作人员不少于18人，其中:1楼接待前台2人，2 楼办事窗口1人、土地拍卖大厅1人,3 楼开标室1人,5 楼开标室1人,6 楼评标室2人，7、8楼会议服务1人，9楼评标室2人，10 楼评标室 2人，11楼评标室2人，隔夜标1人，咨询总值班室2人(女性)。</w:t>
      </w:r>
    </w:p>
    <w:p w14:paraId="08C2EBE5">
      <w:pPr>
        <w:pStyle w:val="13"/>
        <w:keepNext w:val="0"/>
        <w:keepLines w:val="0"/>
        <w:pageBreakBefore w:val="0"/>
        <w:widowControl w:val="0"/>
        <w:tabs>
          <w:tab w:val="left" w:pos="1011"/>
        </w:tabs>
        <w:kinsoku/>
        <w:wordWrap/>
        <w:overflowPunct/>
        <w:topLinePunct w:val="0"/>
        <w:autoSpaceDE w:val="0"/>
        <w:autoSpaceDN w:val="0"/>
        <w:bidi w:val="0"/>
        <w:adjustRightInd/>
        <w:snapToGrid/>
        <w:spacing w:line="360" w:lineRule="auto"/>
        <w:ind w:left="0" w:firstLine="422" w:firstLineChars="200"/>
        <w:jc w:val="left"/>
        <w:textAlignment w:val="auto"/>
        <w:rPr>
          <w:rFonts w:hint="eastAsia" w:ascii="宋体" w:hAnsi="宋体" w:eastAsia="宋体" w:cs="宋体"/>
          <w:b/>
          <w:bCs/>
          <w:sz w:val="21"/>
          <w:szCs w:val="21"/>
        </w:rPr>
      </w:pPr>
      <w:bookmarkStart w:id="18" w:name="bookmark1093"/>
      <w:r>
        <w:rPr>
          <w:rFonts w:hint="eastAsia" w:ascii="宋体" w:hAnsi="宋体" w:eastAsia="宋体" w:cs="宋体"/>
          <w:b/>
          <w:bCs/>
          <w:color w:val="000000"/>
          <w:sz w:val="21"/>
          <w:szCs w:val="21"/>
        </w:rPr>
        <w:t>七</w:t>
      </w:r>
      <w:bookmarkEnd w:id="18"/>
      <w:r>
        <w:rPr>
          <w:rFonts w:hint="eastAsia" w:ascii="宋体" w:hAnsi="宋体" w:eastAsia="宋体" w:cs="宋体"/>
          <w:b/>
          <w:bCs/>
          <w:color w:val="000000"/>
          <w:sz w:val="21"/>
          <w:szCs w:val="21"/>
        </w:rPr>
        <w:t>、验收</w:t>
      </w:r>
    </w:p>
    <w:p w14:paraId="402022BA">
      <w:pPr>
        <w:pStyle w:val="14"/>
        <w:keepNext w:val="0"/>
        <w:keepLines w:val="0"/>
        <w:pageBreakBefore w:val="0"/>
        <w:widowControl w:val="0"/>
        <w:tabs>
          <w:tab w:val="left" w:pos="1431"/>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sz w:val="21"/>
          <w:szCs w:val="21"/>
        </w:rPr>
      </w:pPr>
      <w:bookmarkStart w:id="19" w:name="bookmark1094"/>
      <w:r>
        <w:rPr>
          <w:rFonts w:hint="eastAsia" w:ascii="宋体" w:hAnsi="宋体" w:eastAsia="宋体" w:cs="宋体"/>
          <w:color w:val="000000"/>
          <w:sz w:val="21"/>
          <w:szCs w:val="21"/>
        </w:rPr>
        <w:t>（</w:t>
      </w:r>
      <w:bookmarkEnd w:id="19"/>
      <w:r>
        <w:rPr>
          <w:rFonts w:hint="eastAsia" w:ascii="宋体" w:hAnsi="宋体" w:eastAsia="宋体" w:cs="宋体"/>
          <w:color w:val="000000"/>
          <w:sz w:val="21"/>
          <w:szCs w:val="21"/>
        </w:rPr>
        <w:t>一）服务内容完成后先由乙方进行自检，自检合格后邀请甲方进行验收。甲方确认乙方的自检内容后，组织乙方进行最终验收，验收时乙方应派员参加，共同对验收结果进行确认，并承担相关责任。验收合格后，填写政府采购项目履约验收单(一式叁份)作为对服务的最终认可，并据此退还履约保证金。</w:t>
      </w:r>
    </w:p>
    <w:p w14:paraId="6FCFF007">
      <w:pPr>
        <w:pStyle w:val="14"/>
        <w:keepNext w:val="0"/>
        <w:keepLines w:val="0"/>
        <w:pageBreakBefore w:val="0"/>
        <w:widowControl w:val="0"/>
        <w:tabs>
          <w:tab w:val="left" w:pos="1453"/>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sz w:val="21"/>
          <w:szCs w:val="21"/>
        </w:rPr>
      </w:pPr>
      <w:bookmarkStart w:id="20" w:name="bookmark1095"/>
      <w:r>
        <w:rPr>
          <w:rFonts w:hint="eastAsia" w:ascii="宋体" w:hAnsi="宋体" w:eastAsia="宋体" w:cs="宋体"/>
          <w:color w:val="000000"/>
          <w:sz w:val="21"/>
          <w:szCs w:val="21"/>
        </w:rPr>
        <w:t>（</w:t>
      </w:r>
      <w:bookmarkEnd w:id="20"/>
      <w:r>
        <w:rPr>
          <w:rFonts w:hint="eastAsia" w:ascii="宋体" w:hAnsi="宋体" w:eastAsia="宋体" w:cs="宋体"/>
          <w:color w:val="000000"/>
          <w:sz w:val="21"/>
          <w:szCs w:val="21"/>
        </w:rPr>
        <w:t>二）验收依据：</w:t>
      </w:r>
    </w:p>
    <w:p w14:paraId="4921FB17">
      <w:pPr>
        <w:pStyle w:val="14"/>
        <w:keepNext w:val="0"/>
        <w:keepLines w:val="0"/>
        <w:pageBreakBefore w:val="0"/>
        <w:widowControl w:val="0"/>
        <w:tabs>
          <w:tab w:val="left" w:pos="995"/>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sz w:val="21"/>
          <w:szCs w:val="21"/>
        </w:rPr>
      </w:pPr>
      <w:bookmarkStart w:id="21" w:name="bookmark1097"/>
      <w:r>
        <w:rPr>
          <w:rFonts w:hint="eastAsia" w:ascii="宋体" w:hAnsi="宋体" w:eastAsia="宋体" w:cs="宋体"/>
          <w:color w:val="000000"/>
          <w:sz w:val="21"/>
          <w:szCs w:val="21"/>
        </w:rPr>
        <w:t>1</w:t>
      </w:r>
      <w:bookmarkEnd w:id="21"/>
      <w:r>
        <w:rPr>
          <w:rFonts w:hint="eastAsia" w:ascii="宋体" w:hAnsi="宋体" w:eastAsia="宋体" w:cs="宋体"/>
          <w:color w:val="000000"/>
          <w:sz w:val="21"/>
          <w:szCs w:val="21"/>
        </w:rPr>
        <w:t>、</w:t>
      </w:r>
      <w:r>
        <w:rPr>
          <w:rFonts w:hint="eastAsia" w:cs="宋体"/>
          <w:color w:val="000000"/>
          <w:sz w:val="21"/>
          <w:szCs w:val="21"/>
          <w:lang w:eastAsia="zh-CN"/>
        </w:rPr>
        <w:t>磋商文件</w:t>
      </w:r>
      <w:r>
        <w:rPr>
          <w:rFonts w:hint="eastAsia" w:ascii="宋体" w:hAnsi="宋体" w:eastAsia="宋体" w:cs="宋体"/>
          <w:color w:val="000000"/>
          <w:sz w:val="21"/>
          <w:szCs w:val="21"/>
        </w:rPr>
        <w:t>、</w:t>
      </w:r>
      <w:r>
        <w:rPr>
          <w:rFonts w:hint="eastAsia" w:cs="宋体"/>
          <w:color w:val="000000"/>
          <w:sz w:val="21"/>
          <w:szCs w:val="21"/>
          <w:lang w:eastAsia="zh-CN"/>
        </w:rPr>
        <w:t>响应文件</w:t>
      </w:r>
      <w:r>
        <w:rPr>
          <w:rFonts w:hint="eastAsia" w:ascii="宋体" w:hAnsi="宋体" w:eastAsia="宋体" w:cs="宋体"/>
          <w:color w:val="000000"/>
          <w:sz w:val="21"/>
          <w:szCs w:val="21"/>
        </w:rPr>
        <w:t>、澄清表（函）；</w:t>
      </w:r>
    </w:p>
    <w:p w14:paraId="35A5B87D">
      <w:pPr>
        <w:pStyle w:val="14"/>
        <w:keepNext w:val="0"/>
        <w:keepLines w:val="0"/>
        <w:pageBreakBefore w:val="0"/>
        <w:widowControl w:val="0"/>
        <w:tabs>
          <w:tab w:val="left" w:pos="1018"/>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sz w:val="21"/>
          <w:szCs w:val="21"/>
        </w:rPr>
      </w:pPr>
      <w:bookmarkStart w:id="22" w:name="bookmark1098"/>
      <w:r>
        <w:rPr>
          <w:rFonts w:hint="eastAsia" w:ascii="宋体" w:hAnsi="宋体" w:eastAsia="宋体" w:cs="宋体"/>
          <w:color w:val="000000"/>
          <w:sz w:val="21"/>
          <w:szCs w:val="21"/>
        </w:rPr>
        <w:t>2</w:t>
      </w:r>
      <w:bookmarkEnd w:id="22"/>
      <w:r>
        <w:rPr>
          <w:rFonts w:hint="eastAsia" w:ascii="宋体" w:hAnsi="宋体" w:eastAsia="宋体" w:cs="宋体"/>
          <w:color w:val="000000"/>
          <w:sz w:val="21"/>
          <w:szCs w:val="21"/>
        </w:rPr>
        <w:t>、本合同及附件文本；</w:t>
      </w:r>
    </w:p>
    <w:p w14:paraId="30997647">
      <w:pPr>
        <w:pStyle w:val="14"/>
        <w:keepNext w:val="0"/>
        <w:keepLines w:val="0"/>
        <w:pageBreakBefore w:val="0"/>
        <w:widowControl w:val="0"/>
        <w:tabs>
          <w:tab w:val="left" w:pos="1018"/>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sz w:val="21"/>
          <w:szCs w:val="21"/>
        </w:rPr>
      </w:pPr>
      <w:bookmarkStart w:id="23" w:name="bookmark1099"/>
      <w:r>
        <w:rPr>
          <w:rFonts w:hint="eastAsia" w:ascii="宋体" w:hAnsi="宋体" w:eastAsia="宋体" w:cs="宋体"/>
          <w:color w:val="000000"/>
          <w:sz w:val="21"/>
          <w:szCs w:val="21"/>
        </w:rPr>
        <w:t>3</w:t>
      </w:r>
      <w:bookmarkEnd w:id="23"/>
      <w:r>
        <w:rPr>
          <w:rFonts w:hint="eastAsia" w:ascii="宋体" w:hAnsi="宋体" w:eastAsia="宋体" w:cs="宋体"/>
          <w:color w:val="000000"/>
          <w:sz w:val="21"/>
          <w:szCs w:val="21"/>
        </w:rPr>
        <w:t>、国家相应的标准、规范。</w:t>
      </w:r>
    </w:p>
    <w:p w14:paraId="0E6B7D15">
      <w:pPr>
        <w:pStyle w:val="13"/>
        <w:keepNext w:val="0"/>
        <w:keepLines w:val="0"/>
        <w:pageBreakBefore w:val="0"/>
        <w:widowControl w:val="0"/>
        <w:tabs>
          <w:tab w:val="left" w:pos="1440"/>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sz w:val="21"/>
          <w:szCs w:val="21"/>
        </w:rPr>
      </w:pPr>
      <w:bookmarkStart w:id="24" w:name="bookmark1100"/>
      <w:r>
        <w:rPr>
          <w:rFonts w:hint="eastAsia" w:ascii="宋体" w:hAnsi="宋体" w:eastAsia="宋体" w:cs="宋体"/>
          <w:color w:val="000000"/>
          <w:sz w:val="21"/>
          <w:szCs w:val="21"/>
        </w:rPr>
        <w:t>（</w:t>
      </w:r>
      <w:bookmarkEnd w:id="24"/>
      <w:r>
        <w:rPr>
          <w:rFonts w:hint="eastAsia" w:ascii="宋体" w:hAnsi="宋体" w:eastAsia="宋体" w:cs="宋体"/>
          <w:color w:val="000000"/>
          <w:sz w:val="21"/>
          <w:szCs w:val="21"/>
        </w:rPr>
        <w:t>四）双方拟定的其他条款。</w:t>
      </w:r>
    </w:p>
    <w:p w14:paraId="6D8E2BB5">
      <w:pPr>
        <w:pStyle w:val="13"/>
        <w:keepNext w:val="0"/>
        <w:keepLines w:val="0"/>
        <w:pageBreakBefore w:val="0"/>
        <w:widowControl w:val="0"/>
        <w:tabs>
          <w:tab w:val="left" w:pos="1011"/>
        </w:tabs>
        <w:kinsoku/>
        <w:wordWrap/>
        <w:overflowPunct/>
        <w:topLinePunct w:val="0"/>
        <w:autoSpaceDE w:val="0"/>
        <w:autoSpaceDN w:val="0"/>
        <w:bidi w:val="0"/>
        <w:adjustRightInd/>
        <w:snapToGrid/>
        <w:spacing w:line="360" w:lineRule="auto"/>
        <w:ind w:left="0" w:firstLine="422" w:firstLineChars="200"/>
        <w:jc w:val="left"/>
        <w:textAlignment w:val="auto"/>
        <w:rPr>
          <w:rFonts w:hint="eastAsia" w:ascii="宋体" w:hAnsi="宋体" w:eastAsia="宋体" w:cs="宋体"/>
          <w:b/>
          <w:bCs/>
          <w:sz w:val="21"/>
          <w:szCs w:val="21"/>
        </w:rPr>
      </w:pPr>
      <w:bookmarkStart w:id="25" w:name="bookmark1101"/>
      <w:r>
        <w:rPr>
          <w:rFonts w:hint="eastAsia" w:ascii="宋体" w:hAnsi="宋体" w:eastAsia="宋体" w:cs="宋体"/>
          <w:b/>
          <w:bCs/>
          <w:color w:val="000000"/>
          <w:sz w:val="21"/>
          <w:szCs w:val="21"/>
        </w:rPr>
        <w:t>八</w:t>
      </w:r>
      <w:bookmarkEnd w:id="25"/>
      <w:r>
        <w:rPr>
          <w:rFonts w:hint="eastAsia" w:ascii="宋体" w:hAnsi="宋体" w:eastAsia="宋体" w:cs="宋体"/>
          <w:b/>
          <w:bCs/>
          <w:color w:val="000000"/>
          <w:sz w:val="21"/>
          <w:szCs w:val="21"/>
        </w:rPr>
        <w:t>、违约责任</w:t>
      </w:r>
    </w:p>
    <w:p w14:paraId="6F09559D">
      <w:pPr>
        <w:pStyle w:val="13"/>
        <w:keepNext w:val="0"/>
        <w:keepLines w:val="0"/>
        <w:pageBreakBefore w:val="0"/>
        <w:widowControl w:val="0"/>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bookmarkStart w:id="26" w:name="bookmark1111"/>
      <w:r>
        <w:rPr>
          <w:rFonts w:hint="eastAsia" w:ascii="宋体" w:hAnsi="宋体" w:eastAsia="宋体" w:cs="宋体"/>
          <w:color w:val="000000"/>
          <w:sz w:val="21"/>
          <w:szCs w:val="21"/>
        </w:rPr>
        <w:t>(一)按《</w:t>
      </w:r>
      <w:r>
        <w:rPr>
          <w:rFonts w:hint="eastAsia" w:cs="宋体"/>
          <w:color w:val="000000"/>
          <w:sz w:val="21"/>
          <w:szCs w:val="21"/>
          <w:lang w:eastAsia="zh-CN"/>
        </w:rPr>
        <w:t>中华人民共和国民法典</w:t>
      </w:r>
      <w:r>
        <w:rPr>
          <w:rFonts w:hint="eastAsia" w:ascii="宋体" w:hAnsi="宋体" w:eastAsia="宋体" w:cs="宋体"/>
          <w:color w:val="000000"/>
          <w:sz w:val="21"/>
          <w:szCs w:val="21"/>
        </w:rPr>
        <w:t>》中的相关条款执行。</w:t>
      </w:r>
    </w:p>
    <w:p w14:paraId="6EF06323">
      <w:pPr>
        <w:pStyle w:val="13"/>
        <w:keepNext w:val="0"/>
        <w:keepLines w:val="0"/>
        <w:pageBreakBefore w:val="0"/>
        <w:widowControl w:val="0"/>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(二)未按合同要求提供服务或服务质量不能满足合同要求，甲方应当将乙方违约的情况以及拟采取的措施以书面形式报政府采购监管部门，根据政府采购监管部门的处理意见，甲方有权依据《</w:t>
      </w:r>
      <w:r>
        <w:rPr>
          <w:rFonts w:hint="eastAsia" w:cs="宋体"/>
          <w:color w:val="000000"/>
          <w:sz w:val="21"/>
          <w:szCs w:val="21"/>
          <w:lang w:eastAsia="zh-CN"/>
        </w:rPr>
        <w:t>中华人民共和国民法典</w:t>
      </w:r>
      <w:r>
        <w:rPr>
          <w:rFonts w:hint="eastAsia" w:ascii="宋体" w:hAnsi="宋体" w:eastAsia="宋体" w:cs="宋体"/>
          <w:color w:val="000000"/>
          <w:sz w:val="21"/>
          <w:szCs w:val="21"/>
        </w:rPr>
        <w:t>》有关条款及合同约定终止合同，并要求乙方承担违约责任。同时，政府采购监管部门有权依据《</w:t>
      </w:r>
      <w:r>
        <w:rPr>
          <w:rFonts w:hint="eastAsia" w:cs="宋体"/>
          <w:color w:val="000000"/>
          <w:sz w:val="21"/>
          <w:szCs w:val="21"/>
          <w:lang w:eastAsia="zh-CN"/>
        </w:rPr>
        <w:t>中华人民共和国政府采购法</w:t>
      </w:r>
      <w:r>
        <w:rPr>
          <w:rFonts w:hint="eastAsia" w:ascii="宋体" w:hAnsi="宋体" w:eastAsia="宋体" w:cs="宋体"/>
          <w:color w:val="000000"/>
          <w:sz w:val="21"/>
          <w:szCs w:val="21"/>
        </w:rPr>
        <w:t>》及相关法律法规对乙方的违法行为进行相应的处罚。</w:t>
      </w:r>
    </w:p>
    <w:p w14:paraId="5EF86D5D">
      <w:pPr>
        <w:pStyle w:val="13"/>
        <w:keepNext w:val="0"/>
        <w:keepLines w:val="0"/>
        <w:pageBreakBefore w:val="0"/>
        <w:widowControl w:val="0"/>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(三)在本合同履行过程中，双方因违约或造成对方经济、社会效益等损失的应当赔偿。</w:t>
      </w:r>
    </w:p>
    <w:p w14:paraId="5B40F233">
      <w:pPr>
        <w:pStyle w:val="13"/>
        <w:keepNext w:val="0"/>
        <w:keepLines w:val="0"/>
        <w:pageBreakBefore w:val="0"/>
        <w:widowControl w:val="0"/>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(四)乙方提供的服务不符合本项目相关文件和本合同规定的，甲方有权拒绝，并且乙方须向甲方支付本合同总价款15%的违约金。</w:t>
      </w:r>
    </w:p>
    <w:p w14:paraId="69CA0489">
      <w:pPr>
        <w:pStyle w:val="13"/>
        <w:keepNext w:val="0"/>
        <w:keepLines w:val="0"/>
        <w:pageBreakBefore w:val="0"/>
        <w:widowControl w:val="0"/>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(五)未经甲方同意，乙方不得擅自将本合同服务转包第三方承担，否则甲方有权解除合同，并要求乙方支付合同总价款15%的违约金。</w:t>
      </w:r>
    </w:p>
    <w:p w14:paraId="1955B78E">
      <w:pPr>
        <w:pStyle w:val="13"/>
        <w:keepNext w:val="0"/>
        <w:keepLines w:val="0"/>
        <w:pageBreakBefore w:val="0"/>
        <w:widowControl w:val="0"/>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(六)若乙方违约，甲方为主张本合同项下权利、处罚、赔偿款等产生的一切费用(包括但不限于诉讼费、保全费、执行费、律师费、交通费等)由乙方承担。</w:t>
      </w:r>
    </w:p>
    <w:p w14:paraId="1AD08021">
      <w:pPr>
        <w:pStyle w:val="13"/>
        <w:keepNext w:val="0"/>
        <w:keepLines w:val="0"/>
        <w:pageBreakBefore w:val="0"/>
        <w:widowControl w:val="0"/>
        <w:kinsoku/>
        <w:wordWrap/>
        <w:overflowPunct/>
        <w:topLinePunct w:val="0"/>
        <w:autoSpaceDE w:val="0"/>
        <w:autoSpaceDN w:val="0"/>
        <w:bidi w:val="0"/>
        <w:adjustRightInd/>
        <w:snapToGrid/>
        <w:spacing w:line="360" w:lineRule="auto"/>
        <w:ind w:left="0"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color w:val="000000"/>
          <w:sz w:val="21"/>
          <w:szCs w:val="21"/>
        </w:rPr>
        <w:t>九</w:t>
      </w:r>
      <w:bookmarkEnd w:id="26"/>
      <w:r>
        <w:rPr>
          <w:rFonts w:hint="eastAsia" w:ascii="宋体" w:hAnsi="宋体" w:eastAsia="宋体" w:cs="宋体"/>
          <w:b/>
          <w:bCs/>
          <w:color w:val="000000"/>
          <w:sz w:val="21"/>
          <w:szCs w:val="21"/>
        </w:rPr>
        <w:t>、</w:t>
      </w:r>
      <w:r>
        <w:rPr>
          <w:rFonts w:hint="eastAsia" w:ascii="宋体" w:hAnsi="宋体" w:eastAsia="宋体" w:cs="宋体"/>
          <w:b/>
          <w:bCs/>
          <w:color w:val="000000"/>
          <w:sz w:val="21"/>
          <w:szCs w:val="21"/>
          <w:lang w:val="en-US" w:eastAsia="zh-CN"/>
        </w:rPr>
        <w:t>保密条款</w:t>
      </w:r>
    </w:p>
    <w:p w14:paraId="2739A0E5">
      <w:pPr>
        <w:pStyle w:val="13"/>
        <w:keepNext w:val="0"/>
        <w:keepLines w:val="0"/>
        <w:pageBreakBefore w:val="0"/>
        <w:widowControl w:val="0"/>
        <w:tabs>
          <w:tab w:val="left" w:pos="1493"/>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3D54EF96">
      <w:pPr>
        <w:pStyle w:val="13"/>
        <w:keepNext w:val="0"/>
        <w:keepLines w:val="0"/>
        <w:pageBreakBefore w:val="0"/>
        <w:widowControl w:val="0"/>
        <w:tabs>
          <w:tab w:val="left" w:pos="1493"/>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(二)甲方有义务保护乙方的知识产权，未经乙方同意，不得将乙方交付的具有知识产权性质的成果文件、资料向第三方转让或用于本合同以外的项目。如发生以上情况，乙方有权索赔，但甲方依据相关法定</w:t>
      </w:r>
      <w:r>
        <w:rPr>
          <w:rFonts w:hint="eastAsia" w:cs="宋体"/>
          <w:color w:val="000000"/>
          <w:sz w:val="21"/>
          <w:szCs w:val="21"/>
          <w:lang w:eastAsia="zh-CN"/>
        </w:rPr>
        <w:t>职责</w:t>
      </w:r>
      <w:r>
        <w:rPr>
          <w:rFonts w:hint="eastAsia" w:ascii="宋体" w:hAnsi="宋体" w:eastAsia="宋体" w:cs="宋体"/>
          <w:color w:val="000000"/>
          <w:sz w:val="21"/>
          <w:szCs w:val="21"/>
        </w:rPr>
        <w:t>对外公开的除外。</w:t>
      </w:r>
    </w:p>
    <w:p w14:paraId="6B2B6289">
      <w:pPr>
        <w:pStyle w:val="13"/>
        <w:keepNext w:val="0"/>
        <w:keepLines w:val="0"/>
        <w:pageBreakBefore w:val="0"/>
        <w:widowControl w:val="0"/>
        <w:tabs>
          <w:tab w:val="left" w:pos="1493"/>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(三)本条款为独立条款，本合同的无效、变更、解除和终止均不影响本条款的效力。</w:t>
      </w:r>
    </w:p>
    <w:p w14:paraId="781F5646">
      <w:pPr>
        <w:pStyle w:val="13"/>
        <w:keepNext w:val="0"/>
        <w:keepLines w:val="0"/>
        <w:pageBreakBefore w:val="0"/>
        <w:widowControl w:val="0"/>
        <w:tabs>
          <w:tab w:val="left" w:pos="1493"/>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w:t>
      </w:r>
      <w:r>
        <w:rPr>
          <w:rFonts w:hint="eastAsia" w:cs="宋体"/>
          <w:color w:val="000000"/>
          <w:sz w:val="21"/>
          <w:szCs w:val="21"/>
          <w:lang w:val="en-US" w:eastAsia="zh-CN"/>
        </w:rPr>
        <w:t>四</w:t>
      </w:r>
      <w:r>
        <w:rPr>
          <w:rFonts w:hint="eastAsia" w:ascii="宋体" w:hAnsi="宋体" w:eastAsia="宋体" w:cs="宋体"/>
          <w:color w:val="000000"/>
          <w:sz w:val="21"/>
          <w:szCs w:val="21"/>
        </w:rPr>
        <w:t>)乙方必须遵守相关保密制度。乙方工作人员违反相关保密制度未造成严重不良后果的，对乙方第一次罚款50000-100000元，第二次甲方可以单方无条件解除合同，不再支付乙方解除合同之日以后服务期费用，处以乙方已提供服务期费用50%的罚款，并保留追究乙方及相关人员法律责任的权利。</w:t>
      </w:r>
    </w:p>
    <w:p w14:paraId="3C6EBCBD">
      <w:pPr>
        <w:pStyle w:val="13"/>
        <w:keepNext w:val="0"/>
        <w:keepLines w:val="0"/>
        <w:pageBreakBefore w:val="0"/>
        <w:widowControl w:val="0"/>
        <w:tabs>
          <w:tab w:val="left" w:pos="1493"/>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乙方工作人员违反相关保密制度造成严重不良后果的，甲方可以单方无条件立即解除合同，不再支付乙方解除合同之日以后服务期费用，对乙方处以已提供服务期费用 100%的罚款，并保留追究乙方及相关人员法律责任的权利。</w:t>
      </w:r>
    </w:p>
    <w:p w14:paraId="112F7D5F">
      <w:pPr>
        <w:pStyle w:val="13"/>
        <w:keepNext w:val="0"/>
        <w:keepLines w:val="0"/>
        <w:pageBreakBefore w:val="0"/>
        <w:widowControl w:val="0"/>
        <w:kinsoku/>
        <w:wordWrap/>
        <w:overflowPunct/>
        <w:topLinePunct w:val="0"/>
        <w:autoSpaceDE w:val="0"/>
        <w:autoSpaceDN w:val="0"/>
        <w:bidi w:val="0"/>
        <w:adjustRightInd/>
        <w:snapToGrid/>
        <w:spacing w:line="360" w:lineRule="auto"/>
        <w:ind w:left="0"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color w:val="000000"/>
          <w:sz w:val="21"/>
          <w:szCs w:val="21"/>
        </w:rPr>
        <w:t>十、</w:t>
      </w:r>
      <w:r>
        <w:rPr>
          <w:rFonts w:hint="eastAsia" w:ascii="宋体" w:hAnsi="宋体" w:eastAsia="宋体" w:cs="宋体"/>
          <w:b/>
          <w:bCs/>
          <w:color w:val="000000"/>
          <w:sz w:val="21"/>
          <w:szCs w:val="21"/>
          <w:lang w:val="en-US" w:eastAsia="zh-CN"/>
        </w:rPr>
        <w:t>争议解决</w:t>
      </w:r>
    </w:p>
    <w:p w14:paraId="3F568BA1">
      <w:pPr>
        <w:pStyle w:val="14"/>
        <w:keepNext w:val="0"/>
        <w:keepLines w:val="0"/>
        <w:pageBreakBefore w:val="0"/>
        <w:widowControl w:val="0"/>
        <w:tabs>
          <w:tab w:val="left" w:pos="1503"/>
          <w:tab w:val="left" w:pos="3715"/>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sz w:val="21"/>
          <w:szCs w:val="21"/>
        </w:rPr>
      </w:pPr>
      <w:bookmarkStart w:id="27" w:name="bookmark1116"/>
      <w:r>
        <w:rPr>
          <w:rFonts w:hint="eastAsia" w:ascii="宋体" w:hAnsi="宋体" w:eastAsia="宋体" w:cs="宋体"/>
          <w:color w:val="000000"/>
          <w:sz w:val="21"/>
          <w:szCs w:val="21"/>
        </w:rPr>
        <w:t>（</w:t>
      </w:r>
      <w:bookmarkEnd w:id="27"/>
      <w:r>
        <w:rPr>
          <w:rFonts w:hint="eastAsia" w:ascii="宋体" w:hAnsi="宋体" w:eastAsia="宋体" w:cs="宋体"/>
          <w:color w:val="000000"/>
          <w:sz w:val="21"/>
          <w:szCs w:val="21"/>
        </w:rPr>
        <w:t>一）本合同在履行过程中发生的争议，由甲、乙双方当事人协商解</w:t>
      </w:r>
      <w:r>
        <w:rPr>
          <w:rFonts w:hint="eastAsia" w:ascii="宋体" w:hAnsi="宋体" w:eastAsia="宋体" w:cs="宋体"/>
          <w:color w:val="000000"/>
          <w:sz w:val="21"/>
          <w:szCs w:val="21"/>
          <w:lang w:val="zh-CN" w:eastAsia="zh-CN" w:bidi="zh-CN"/>
        </w:rPr>
        <w:t>决，</w:t>
      </w:r>
      <w:r>
        <w:rPr>
          <w:rFonts w:hint="eastAsia" w:ascii="宋体" w:hAnsi="宋体" w:eastAsia="宋体" w:cs="宋体"/>
          <w:color w:val="000000"/>
          <w:sz w:val="21"/>
          <w:szCs w:val="21"/>
        </w:rPr>
        <w:t>协商不成的按下列第</w:t>
      </w:r>
      <w:r>
        <w:rPr>
          <w:rFonts w:hint="eastAsia" w:ascii="宋体" w:hAnsi="宋体" w:eastAsia="宋体" w:cs="宋体"/>
          <w:sz w:val="21"/>
          <w:szCs w:val="21"/>
          <w:u w:val="single"/>
        </w:rPr>
        <w:t xml:space="preserve"> </w:t>
      </w:r>
      <w:r>
        <w:rPr>
          <w:rFonts w:hint="eastAsia" w:cs="宋体"/>
          <w:sz w:val="21"/>
          <w:szCs w:val="21"/>
          <w:u w:val="single"/>
          <w:lang w:val="en-US" w:eastAsia="zh-CN"/>
        </w:rPr>
        <w:t>2</w:t>
      </w:r>
      <w:r>
        <w:rPr>
          <w:rFonts w:hint="eastAsia" w:ascii="宋体" w:hAnsi="宋体" w:eastAsia="宋体" w:cs="宋体"/>
          <w:sz w:val="21"/>
          <w:szCs w:val="21"/>
          <w:u w:val="single"/>
          <w:lang w:val="en-US" w:eastAsia="zh-CN"/>
        </w:rPr>
        <w:t xml:space="preserve">   </w:t>
      </w:r>
      <w:r>
        <w:rPr>
          <w:rFonts w:hint="eastAsia" w:ascii="宋体" w:hAnsi="宋体" w:eastAsia="宋体" w:cs="宋体"/>
          <w:color w:val="000000"/>
          <w:sz w:val="21"/>
          <w:szCs w:val="21"/>
        </w:rPr>
        <w:t>种方式解决：</w:t>
      </w:r>
    </w:p>
    <w:p w14:paraId="65C40165">
      <w:pPr>
        <w:pStyle w:val="14"/>
        <w:keepNext w:val="0"/>
        <w:keepLines w:val="0"/>
        <w:pageBreakBefore w:val="0"/>
        <w:widowControl w:val="0"/>
        <w:tabs>
          <w:tab w:val="left" w:pos="1061"/>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sz w:val="21"/>
          <w:szCs w:val="21"/>
        </w:rPr>
      </w:pPr>
      <w:bookmarkStart w:id="28" w:name="bookmark1117"/>
      <w:r>
        <w:rPr>
          <w:rFonts w:hint="eastAsia" w:ascii="宋体" w:hAnsi="宋体" w:eastAsia="宋体" w:cs="宋体"/>
          <w:color w:val="000000"/>
          <w:sz w:val="21"/>
          <w:szCs w:val="21"/>
        </w:rPr>
        <w:t>1</w:t>
      </w:r>
      <w:bookmarkEnd w:id="28"/>
      <w:r>
        <w:rPr>
          <w:rFonts w:hint="eastAsia" w:ascii="宋体" w:hAnsi="宋体" w:eastAsia="宋体" w:cs="宋体"/>
          <w:color w:val="000000"/>
          <w:sz w:val="21"/>
          <w:szCs w:val="21"/>
        </w:rPr>
        <w:t>、提交西安仲裁委员会仲裁；</w:t>
      </w:r>
    </w:p>
    <w:p w14:paraId="77DBCB68">
      <w:pPr>
        <w:pStyle w:val="14"/>
        <w:keepNext w:val="0"/>
        <w:keepLines w:val="0"/>
        <w:pageBreakBefore w:val="0"/>
        <w:widowControl w:val="0"/>
        <w:tabs>
          <w:tab w:val="left" w:pos="1078"/>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sz w:val="21"/>
          <w:szCs w:val="21"/>
        </w:rPr>
      </w:pPr>
      <w:bookmarkStart w:id="29" w:name="bookmark1118"/>
      <w:r>
        <w:rPr>
          <w:rFonts w:hint="eastAsia" w:ascii="宋体" w:hAnsi="宋体" w:eastAsia="宋体" w:cs="宋体"/>
          <w:color w:val="000000"/>
          <w:sz w:val="21"/>
          <w:szCs w:val="21"/>
        </w:rPr>
        <w:t>2</w:t>
      </w:r>
      <w:bookmarkEnd w:id="29"/>
      <w:r>
        <w:rPr>
          <w:rFonts w:hint="eastAsia" w:ascii="宋体" w:hAnsi="宋体" w:eastAsia="宋体" w:cs="宋体"/>
          <w:color w:val="000000"/>
          <w:sz w:val="21"/>
          <w:szCs w:val="21"/>
        </w:rPr>
        <w:t>、依法向甲方所在地人民法院起诉。</w:t>
      </w:r>
    </w:p>
    <w:p w14:paraId="2510CE3B">
      <w:pPr>
        <w:pStyle w:val="14"/>
        <w:keepNext w:val="0"/>
        <w:keepLines w:val="0"/>
        <w:pageBreakBefore w:val="0"/>
        <w:widowControl w:val="0"/>
        <w:tabs>
          <w:tab w:val="left" w:pos="1431"/>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sz w:val="21"/>
          <w:szCs w:val="21"/>
        </w:rPr>
      </w:pPr>
      <w:bookmarkStart w:id="30" w:name="bookmark1119"/>
      <w:r>
        <w:rPr>
          <w:rFonts w:hint="eastAsia" w:ascii="宋体" w:hAnsi="宋体" w:eastAsia="宋体" w:cs="宋体"/>
          <w:color w:val="000000"/>
          <w:sz w:val="21"/>
          <w:szCs w:val="21"/>
        </w:rPr>
        <w:t>（</w:t>
      </w:r>
      <w:bookmarkEnd w:id="30"/>
      <w:r>
        <w:rPr>
          <w:rFonts w:hint="eastAsia" w:ascii="宋体" w:hAnsi="宋体" w:eastAsia="宋体" w:cs="宋体"/>
          <w:color w:val="000000"/>
          <w:sz w:val="21"/>
          <w:szCs w:val="21"/>
        </w:rPr>
        <w:t>二）本条款为独立条款，本合同的无效、变更、解除和终止均不影响本条款的效力。</w:t>
      </w:r>
    </w:p>
    <w:p w14:paraId="66B30D45">
      <w:pPr>
        <w:pStyle w:val="14"/>
        <w:keepNext w:val="0"/>
        <w:keepLines w:val="0"/>
        <w:pageBreakBefore w:val="0"/>
        <w:widowControl w:val="0"/>
        <w:kinsoku/>
        <w:wordWrap/>
        <w:overflowPunct/>
        <w:topLinePunct w:val="0"/>
        <w:autoSpaceDE w:val="0"/>
        <w:autoSpaceDN w:val="0"/>
        <w:bidi w:val="0"/>
        <w:adjustRightInd/>
        <w:snapToGrid/>
        <w:spacing w:line="360" w:lineRule="auto"/>
        <w:ind w:left="0" w:firstLine="422" w:firstLineChars="200"/>
        <w:jc w:val="left"/>
        <w:textAlignment w:val="auto"/>
        <w:rPr>
          <w:rFonts w:hint="eastAsia" w:cs="宋体"/>
          <w:b/>
          <w:bCs/>
          <w:color w:val="000000"/>
          <w:sz w:val="21"/>
          <w:szCs w:val="21"/>
          <w:lang w:val="en-US" w:eastAsia="zh-CN"/>
        </w:rPr>
      </w:pPr>
      <w:r>
        <w:rPr>
          <w:rFonts w:hint="eastAsia" w:ascii="宋体" w:hAnsi="宋体" w:eastAsia="宋体" w:cs="宋体"/>
          <w:b/>
          <w:bCs/>
          <w:color w:val="000000"/>
          <w:sz w:val="21"/>
          <w:szCs w:val="21"/>
          <w:lang w:val="en-US" w:eastAsia="zh-CN"/>
        </w:rPr>
        <w:t>十一、</w:t>
      </w:r>
      <w:r>
        <w:rPr>
          <w:rFonts w:hint="eastAsia" w:ascii="宋体" w:hAnsi="宋体" w:eastAsia="宋体" w:cs="宋体"/>
          <w:b/>
          <w:bCs/>
          <w:color w:val="000000"/>
          <w:sz w:val="21"/>
          <w:szCs w:val="21"/>
        </w:rPr>
        <w:t>合同</w:t>
      </w:r>
      <w:r>
        <w:rPr>
          <w:rFonts w:hint="eastAsia" w:cs="宋体"/>
          <w:b/>
          <w:bCs/>
          <w:color w:val="000000"/>
          <w:sz w:val="21"/>
          <w:szCs w:val="21"/>
          <w:lang w:val="en-US" w:eastAsia="zh-CN"/>
        </w:rPr>
        <w:t>变更</w:t>
      </w:r>
    </w:p>
    <w:p w14:paraId="6AE0C7C4">
      <w:pPr>
        <w:pStyle w:val="14"/>
        <w:keepNext w:val="0"/>
        <w:keepLines w:val="0"/>
        <w:pageBreakBefore w:val="0"/>
        <w:widowControl w:val="0"/>
        <w:kinsoku/>
        <w:wordWrap/>
        <w:overflowPunct/>
        <w:topLinePunct w:val="0"/>
        <w:autoSpaceDE w:val="0"/>
        <w:autoSpaceDN w:val="0"/>
        <w:bidi w:val="0"/>
        <w:adjustRightInd/>
        <w:snapToGrid/>
        <w:spacing w:line="360" w:lineRule="auto"/>
        <w:ind w:left="0" w:firstLine="420" w:firstLineChars="200"/>
        <w:jc w:val="left"/>
        <w:textAlignment w:val="auto"/>
        <w:rPr>
          <w:rFonts w:hint="eastAsia" w:cs="宋体"/>
          <w:color w:val="000000"/>
          <w:sz w:val="21"/>
          <w:szCs w:val="21"/>
          <w:lang w:val="en-US" w:eastAsia="zh-CN"/>
        </w:rPr>
      </w:pPr>
      <w:r>
        <w:rPr>
          <w:rFonts w:hint="eastAsia" w:cs="宋体"/>
          <w:color w:val="000000"/>
          <w:sz w:val="21"/>
          <w:szCs w:val="21"/>
          <w:lang w:val="en-US" w:eastAsia="zh-CN"/>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3A1F0113">
      <w:pPr>
        <w:pStyle w:val="14"/>
        <w:keepNext w:val="0"/>
        <w:keepLines w:val="0"/>
        <w:pageBreakBefore w:val="0"/>
        <w:widowControl w:val="0"/>
        <w:kinsoku/>
        <w:wordWrap/>
        <w:overflowPunct/>
        <w:topLinePunct w:val="0"/>
        <w:autoSpaceDE w:val="0"/>
        <w:autoSpaceDN w:val="0"/>
        <w:bidi w:val="0"/>
        <w:adjustRightInd/>
        <w:snapToGrid/>
        <w:spacing w:line="360" w:lineRule="auto"/>
        <w:ind w:left="0" w:firstLine="422" w:firstLineChars="200"/>
        <w:jc w:val="left"/>
        <w:textAlignment w:val="auto"/>
        <w:rPr>
          <w:rFonts w:hint="default" w:cs="宋体"/>
          <w:b/>
          <w:bCs/>
          <w:color w:val="000000"/>
          <w:sz w:val="21"/>
          <w:szCs w:val="21"/>
          <w:lang w:val="en-US" w:eastAsia="zh-CN"/>
        </w:rPr>
      </w:pPr>
      <w:r>
        <w:rPr>
          <w:rFonts w:hint="eastAsia" w:cs="宋体"/>
          <w:b/>
          <w:bCs/>
          <w:color w:val="000000"/>
          <w:sz w:val="21"/>
          <w:szCs w:val="21"/>
          <w:lang w:val="en-US" w:eastAsia="zh-CN"/>
        </w:rPr>
        <w:t>十二、合同生效</w:t>
      </w:r>
    </w:p>
    <w:p w14:paraId="251A739C">
      <w:pPr>
        <w:pStyle w:val="14"/>
        <w:keepNext w:val="0"/>
        <w:keepLines w:val="0"/>
        <w:pageBreakBefore w:val="0"/>
        <w:widowControl w:val="0"/>
        <w:tabs>
          <w:tab w:val="left" w:pos="2460"/>
          <w:tab w:val="left" w:pos="6456"/>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本合同一式</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份，甲方持</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份，乙方持</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份，本合同甲、乙</w:t>
      </w:r>
      <w:r>
        <w:rPr>
          <w:rFonts w:hint="eastAsia" w:ascii="宋体" w:hAnsi="宋体" w:eastAsia="宋体" w:cs="宋体"/>
          <w:color w:val="000000"/>
          <w:sz w:val="21"/>
          <w:szCs w:val="21"/>
          <w:lang w:val="en-US" w:eastAsia="zh-CN"/>
        </w:rPr>
        <w:t>双</w:t>
      </w:r>
      <w:r>
        <w:rPr>
          <w:rFonts w:hint="eastAsia" w:ascii="宋体" w:hAnsi="宋体" w:eastAsia="宋体" w:cs="宋体"/>
          <w:color w:val="000000"/>
          <w:sz w:val="21"/>
          <w:szCs w:val="21"/>
        </w:rPr>
        <w:t>方签字并盖章后生效，合同执行完毕后，自动失效（合同的服务承诺则长期有效）。</w:t>
      </w:r>
    </w:p>
    <w:p w14:paraId="105C0A71">
      <w:pPr>
        <w:pStyle w:val="13"/>
        <w:keepNext w:val="0"/>
        <w:keepLines w:val="0"/>
        <w:pageBreakBefore w:val="0"/>
        <w:widowControl w:val="0"/>
        <w:kinsoku/>
        <w:wordWrap/>
        <w:overflowPunct/>
        <w:topLinePunct w:val="0"/>
        <w:autoSpaceDE w:val="0"/>
        <w:autoSpaceDN w:val="0"/>
        <w:bidi w:val="0"/>
        <w:adjustRightInd/>
        <w:snapToGrid/>
        <w:spacing w:line="360" w:lineRule="auto"/>
        <w:ind w:left="0"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十</w:t>
      </w:r>
      <w:r>
        <w:rPr>
          <w:rFonts w:hint="eastAsia" w:ascii="宋体" w:hAnsi="宋体" w:eastAsia="宋体" w:cs="宋体"/>
          <w:b/>
          <w:bCs/>
          <w:color w:val="000000"/>
          <w:sz w:val="21"/>
          <w:szCs w:val="21"/>
          <w:lang w:val="en-US" w:eastAsia="zh-CN"/>
        </w:rPr>
        <w:t>三</w:t>
      </w:r>
      <w:r>
        <w:rPr>
          <w:rFonts w:hint="eastAsia" w:ascii="宋体" w:hAnsi="宋体" w:eastAsia="宋体" w:cs="宋体"/>
          <w:b/>
          <w:bCs/>
          <w:color w:val="000000"/>
          <w:sz w:val="21"/>
          <w:szCs w:val="21"/>
        </w:rPr>
        <w:t>、其他事项</w:t>
      </w:r>
    </w:p>
    <w:p w14:paraId="4F816AD0">
      <w:pPr>
        <w:pStyle w:val="14"/>
        <w:keepNext w:val="0"/>
        <w:keepLines w:val="0"/>
        <w:pageBreakBefore w:val="0"/>
        <w:widowControl w:val="0"/>
        <w:tabs>
          <w:tab w:val="left" w:pos="1824"/>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sz w:val="21"/>
          <w:szCs w:val="21"/>
          <w:lang w:eastAsia="zh-CN"/>
        </w:rPr>
      </w:pPr>
      <w:bookmarkStart w:id="31" w:name="bookmark1125"/>
      <w:r>
        <w:rPr>
          <w:rFonts w:hint="eastAsia" w:ascii="宋体" w:hAnsi="宋体" w:eastAsia="宋体" w:cs="宋体"/>
          <w:color w:val="000000"/>
          <w:sz w:val="21"/>
          <w:szCs w:val="21"/>
        </w:rPr>
        <w:t>（</w:t>
      </w:r>
      <w:bookmarkEnd w:id="31"/>
      <w:r>
        <w:rPr>
          <w:rFonts w:hint="eastAsia" w:ascii="宋体" w:hAnsi="宋体" w:eastAsia="宋体" w:cs="宋体"/>
          <w:color w:val="000000"/>
          <w:sz w:val="21"/>
          <w:szCs w:val="21"/>
          <w:lang w:val="en-US" w:eastAsia="zh-CN"/>
        </w:rPr>
        <w:t>一</w:t>
      </w:r>
      <w:r>
        <w:rPr>
          <w:rFonts w:hint="eastAsia" w:ascii="宋体" w:hAnsi="宋体" w:eastAsia="宋体" w:cs="宋体"/>
          <w:color w:val="000000"/>
          <w:sz w:val="21"/>
          <w:szCs w:val="21"/>
        </w:rPr>
        <w:t>）</w:t>
      </w:r>
      <w:r>
        <w:rPr>
          <w:rFonts w:hint="eastAsia" w:cs="宋体"/>
          <w:color w:val="000000"/>
          <w:sz w:val="21"/>
          <w:szCs w:val="21"/>
          <w:lang w:eastAsia="zh-CN"/>
        </w:rPr>
        <w:t>磋商文件</w:t>
      </w:r>
      <w:r>
        <w:rPr>
          <w:rFonts w:hint="eastAsia" w:ascii="宋体" w:hAnsi="宋体" w:eastAsia="宋体" w:cs="宋体"/>
          <w:color w:val="000000"/>
          <w:sz w:val="21"/>
          <w:szCs w:val="21"/>
        </w:rPr>
        <w:t>、</w:t>
      </w:r>
      <w:r>
        <w:rPr>
          <w:rFonts w:hint="eastAsia" w:cs="宋体"/>
          <w:color w:val="000000"/>
          <w:sz w:val="21"/>
          <w:szCs w:val="21"/>
          <w:lang w:eastAsia="zh-CN"/>
        </w:rPr>
        <w:t>响应文件</w:t>
      </w:r>
      <w:r>
        <w:rPr>
          <w:rFonts w:hint="eastAsia" w:ascii="宋体" w:hAnsi="宋体" w:eastAsia="宋体" w:cs="宋体"/>
          <w:color w:val="000000"/>
          <w:sz w:val="21"/>
          <w:szCs w:val="21"/>
        </w:rPr>
        <w:t>、澄清表（函）、中标通知书、合同附件均为合同不可分割的部分</w:t>
      </w:r>
      <w:r>
        <w:rPr>
          <w:rFonts w:hint="eastAsia" w:ascii="宋体" w:hAnsi="宋体" w:eastAsia="宋体" w:cs="宋体"/>
          <w:color w:val="000000"/>
          <w:sz w:val="21"/>
          <w:szCs w:val="21"/>
          <w:lang w:eastAsia="zh-CN"/>
        </w:rPr>
        <w:t>。</w:t>
      </w:r>
    </w:p>
    <w:p w14:paraId="0CD024EC">
      <w:pPr>
        <w:pStyle w:val="14"/>
        <w:keepNext w:val="0"/>
        <w:keepLines w:val="0"/>
        <w:pageBreakBefore w:val="0"/>
        <w:widowControl w:val="0"/>
        <w:tabs>
          <w:tab w:val="left" w:pos="1817"/>
          <w:tab w:val="left" w:pos="5793"/>
        </w:tabs>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sz w:val="21"/>
          <w:szCs w:val="21"/>
        </w:rPr>
      </w:pPr>
      <w:bookmarkStart w:id="32" w:name="bookmark1127"/>
      <w:r>
        <w:rPr>
          <w:rFonts w:hint="eastAsia" w:ascii="宋体" w:hAnsi="宋体" w:eastAsia="宋体" w:cs="宋体"/>
          <w:color w:val="000000"/>
          <w:sz w:val="21"/>
          <w:szCs w:val="21"/>
        </w:rPr>
        <w:t>（</w:t>
      </w:r>
      <w:bookmarkEnd w:id="32"/>
      <w:r>
        <w:rPr>
          <w:rFonts w:hint="eastAsia" w:ascii="宋体" w:hAnsi="宋体" w:eastAsia="宋体" w:cs="宋体"/>
          <w:color w:val="000000"/>
          <w:sz w:val="21"/>
          <w:szCs w:val="21"/>
          <w:lang w:val="en-US" w:eastAsia="zh-CN"/>
        </w:rPr>
        <w:t>二</w:t>
      </w:r>
      <w:r>
        <w:rPr>
          <w:rFonts w:hint="eastAsia" w:ascii="宋体" w:hAnsi="宋体" w:eastAsia="宋体" w:cs="宋体"/>
          <w:color w:val="000000"/>
          <w:sz w:val="21"/>
          <w:szCs w:val="21"/>
        </w:rPr>
        <w:t>）甲乙双方因不可抗力导致本合同全部或部分不能履行时，发生不可抗力的一方应当在不可抗力发生</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color w:val="000000"/>
          <w:sz w:val="21"/>
          <w:szCs w:val="21"/>
        </w:rPr>
        <w:t>天内书面通知对方，以减轻可能给对方造成的损失。因不可抗力导致本合同全部或部分不能履行时，双方各自承担其因此而造成的损失、损害。</w:t>
      </w:r>
    </w:p>
    <w:p w14:paraId="3FFFF0E7">
      <w:pPr>
        <w:pStyle w:val="13"/>
        <w:keepNext w:val="0"/>
        <w:keepLines w:val="0"/>
        <w:pageBreakBefore w:val="0"/>
        <w:widowControl w:val="0"/>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color w:val="000000"/>
          <w:sz w:val="21"/>
          <w:szCs w:val="21"/>
        </w:rPr>
      </w:pPr>
      <w:bookmarkStart w:id="33" w:name="bookmark1128"/>
      <w:r>
        <w:rPr>
          <w:rFonts w:hint="eastAsia" w:ascii="宋体" w:hAnsi="宋体" w:eastAsia="宋体" w:cs="宋体"/>
          <w:color w:val="000000"/>
          <w:sz w:val="21"/>
          <w:szCs w:val="21"/>
        </w:rPr>
        <w:t>（</w:t>
      </w:r>
      <w:bookmarkEnd w:id="33"/>
      <w:r>
        <w:rPr>
          <w:rFonts w:hint="eastAsia" w:ascii="宋体" w:hAnsi="宋体" w:eastAsia="宋体" w:cs="宋体"/>
          <w:color w:val="000000"/>
          <w:sz w:val="21"/>
          <w:szCs w:val="21"/>
          <w:lang w:val="en-US" w:eastAsia="zh-CN"/>
        </w:rPr>
        <w:t>三</w:t>
      </w:r>
      <w:r>
        <w:rPr>
          <w:rFonts w:hint="eastAsia" w:ascii="宋体" w:hAnsi="宋体" w:eastAsia="宋体" w:cs="宋体"/>
          <w:color w:val="000000"/>
          <w:sz w:val="21"/>
          <w:szCs w:val="21"/>
        </w:rPr>
        <w:t>）合同未尽事宜，由甲、乙双方协商后签订政府</w:t>
      </w:r>
      <w:r>
        <w:rPr>
          <w:rFonts w:hint="eastAsia" w:cs="宋体"/>
          <w:color w:val="000000"/>
          <w:sz w:val="21"/>
          <w:szCs w:val="21"/>
          <w:lang w:eastAsia="zh-CN"/>
        </w:rPr>
        <w:t>采</w:t>
      </w:r>
      <w:r>
        <w:rPr>
          <w:rFonts w:hint="eastAsia" w:ascii="宋体" w:hAnsi="宋体" w:eastAsia="宋体" w:cs="宋体"/>
          <w:color w:val="000000"/>
          <w:sz w:val="21"/>
          <w:szCs w:val="21"/>
        </w:rPr>
        <w:t>购补充合同，与原合同具有同等法律效力。</w:t>
      </w:r>
    </w:p>
    <w:p w14:paraId="799DD579">
      <w:pPr>
        <w:rPr>
          <w:rFonts w:hint="eastAsia" w:ascii="宋体" w:hAnsi="宋体" w:eastAsia="宋体" w:cs="宋体"/>
          <w:color w:val="000000"/>
          <w:sz w:val="21"/>
          <w:szCs w:val="21"/>
        </w:rPr>
      </w:pPr>
      <w:r>
        <w:rPr>
          <w:rFonts w:hint="eastAsia" w:ascii="宋体" w:hAnsi="宋体" w:eastAsia="宋体" w:cs="宋体"/>
          <w:color w:val="000000"/>
          <w:sz w:val="21"/>
          <w:szCs w:val="21"/>
        </w:rPr>
        <w:br w:type="page"/>
      </w:r>
    </w:p>
    <w:p w14:paraId="313FA44C">
      <w:pPr>
        <w:pStyle w:val="13"/>
        <w:pageBreakBefore w:val="0"/>
        <w:widowControl w:val="0"/>
        <w:kinsoku/>
        <w:wordWrap/>
        <w:overflowPunct/>
        <w:topLinePunct w:val="0"/>
        <w:bidi w:val="0"/>
        <w:spacing w:line="360" w:lineRule="auto"/>
        <w:ind w:left="0" w:firstLine="420" w:firstLineChars="200"/>
        <w:jc w:val="left"/>
        <w:textAlignment w:val="auto"/>
        <w:rPr>
          <w:rFonts w:hint="default" w:ascii="宋体" w:hAnsi="宋体" w:eastAsia="宋体" w:cs="宋体"/>
          <w:color w:val="000000"/>
          <w:sz w:val="21"/>
          <w:szCs w:val="21"/>
          <w:lang w:val="en-US" w:eastAsia="zh-CN"/>
        </w:rPr>
      </w:pPr>
      <w:r>
        <w:rPr>
          <w:rFonts w:hint="eastAsia" w:cs="宋体"/>
          <w:color w:val="000000"/>
          <w:sz w:val="21"/>
          <w:szCs w:val="21"/>
          <w:lang w:val="en-US" w:eastAsia="zh-CN"/>
        </w:rPr>
        <w:t>本页为签章页，无正文。</w:t>
      </w:r>
    </w:p>
    <w:tbl>
      <w:tblPr>
        <w:tblStyle w:val="6"/>
        <w:tblpPr w:leftFromText="180" w:rightFromText="180" w:vertAnchor="text" w:tblpXSpec="center" w:tblpY="1"/>
        <w:tblOverlap w:val="never"/>
        <w:tblW w:w="499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 w:type="dxa"/>
          <w:bottom w:w="0" w:type="dxa"/>
          <w:right w:w="10" w:type="dxa"/>
        </w:tblCellMar>
      </w:tblPr>
      <w:tblGrid>
        <w:gridCol w:w="4876"/>
        <w:gridCol w:w="4876"/>
      </w:tblGrid>
      <w:tr w14:paraId="2AC8B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67" w:hRule="atLeast"/>
        </w:trPr>
        <w:tc>
          <w:tcPr>
            <w:tcW w:w="250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00E487A7">
            <w:pPr>
              <w:pStyle w:val="16"/>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color w:val="000000"/>
                <w:sz w:val="21"/>
                <w:szCs w:val="21"/>
              </w:rPr>
              <w:t>甲方</w:t>
            </w:r>
          </w:p>
        </w:tc>
        <w:tc>
          <w:tcPr>
            <w:tcW w:w="250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18B80B3D">
            <w:pPr>
              <w:pStyle w:val="16"/>
              <w:pageBreakBefore w:val="0"/>
              <w:widowControl w:val="0"/>
              <w:kinsoku/>
              <w:wordWrap/>
              <w:overflowPunct/>
              <w:topLinePunct w:val="0"/>
              <w:bidi w:val="0"/>
              <w:spacing w:line="36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color w:val="000000"/>
                <w:sz w:val="21"/>
                <w:szCs w:val="21"/>
              </w:rPr>
              <w:t>乙方</w:t>
            </w:r>
          </w:p>
        </w:tc>
      </w:tr>
      <w:tr w14:paraId="2612B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67" w:hRule="atLeast"/>
        </w:trPr>
        <w:tc>
          <w:tcPr>
            <w:tcW w:w="2500" w:type="pct"/>
            <w:tcBorders>
              <w:top w:val="single" w:color="auto" w:sz="4" w:space="0"/>
              <w:left w:val="single" w:color="auto" w:sz="4" w:space="0"/>
              <w:right w:val="single" w:color="auto" w:sz="4" w:space="0"/>
            </w:tcBorders>
            <w:shd w:val="clear" w:color="auto" w:fill="auto"/>
            <w:noWrap w:val="0"/>
            <w:vAlign w:val="center"/>
          </w:tcPr>
          <w:p w14:paraId="1005E16E">
            <w:pPr>
              <w:pStyle w:val="16"/>
              <w:pageBreakBefore w:val="0"/>
              <w:widowControl w:val="0"/>
              <w:kinsoku/>
              <w:wordWrap/>
              <w:overflowPunct/>
              <w:topLinePunct w:val="0"/>
              <w:bidi w:val="0"/>
              <w:spacing w:line="360" w:lineRule="auto"/>
              <w:ind w:left="0" w:firstLine="0" w:firstLineChars="0"/>
              <w:jc w:val="left"/>
              <w:textAlignment w:val="auto"/>
              <w:rPr>
                <w:rFonts w:hint="eastAsia" w:ascii="宋体" w:hAnsi="宋体" w:eastAsia="宋体" w:cs="宋体"/>
                <w:sz w:val="21"/>
                <w:szCs w:val="21"/>
              </w:rPr>
            </w:pPr>
            <w:r>
              <w:rPr>
                <w:rFonts w:hint="eastAsia" w:cs="宋体"/>
                <w:color w:val="000000"/>
                <w:sz w:val="21"/>
                <w:szCs w:val="21"/>
                <w:lang w:eastAsia="zh-CN"/>
              </w:rPr>
              <w:t>采</w:t>
            </w:r>
            <w:r>
              <w:rPr>
                <w:rFonts w:hint="eastAsia" w:ascii="宋体" w:hAnsi="宋体" w:eastAsia="宋体" w:cs="宋体"/>
                <w:color w:val="000000"/>
                <w:sz w:val="21"/>
                <w:szCs w:val="21"/>
              </w:rPr>
              <w:t>购人名称</w:t>
            </w:r>
          </w:p>
        </w:tc>
        <w:tc>
          <w:tcPr>
            <w:tcW w:w="2500" w:type="pct"/>
            <w:tcBorders>
              <w:top w:val="single" w:color="auto" w:sz="4" w:space="0"/>
              <w:left w:val="single" w:color="auto" w:sz="4" w:space="0"/>
              <w:right w:val="single" w:color="auto" w:sz="4" w:space="0"/>
            </w:tcBorders>
            <w:shd w:val="clear" w:color="auto" w:fill="auto"/>
            <w:noWrap w:val="0"/>
            <w:vAlign w:val="center"/>
          </w:tcPr>
          <w:p w14:paraId="4E48EB5B">
            <w:pPr>
              <w:pStyle w:val="16"/>
              <w:pageBreakBefore w:val="0"/>
              <w:widowControl w:val="0"/>
              <w:kinsoku/>
              <w:wordWrap/>
              <w:overflowPunct/>
              <w:topLinePunct w:val="0"/>
              <w:bidi w:val="0"/>
              <w:spacing w:line="360" w:lineRule="auto"/>
              <w:ind w:left="0" w:firstLine="0" w:firstLineChars="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供应商全称</w:t>
            </w:r>
          </w:p>
        </w:tc>
      </w:tr>
      <w:tr w14:paraId="4CB1E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67" w:hRule="atLeast"/>
        </w:trPr>
        <w:tc>
          <w:tcPr>
            <w:tcW w:w="2500" w:type="pct"/>
            <w:tcBorders>
              <w:left w:val="single" w:color="auto" w:sz="4" w:space="0"/>
              <w:bottom w:val="single" w:color="auto" w:sz="4" w:space="0"/>
              <w:right w:val="single" w:color="auto" w:sz="4" w:space="0"/>
            </w:tcBorders>
            <w:shd w:val="clear" w:color="auto" w:fill="auto"/>
            <w:noWrap w:val="0"/>
            <w:vAlign w:val="center"/>
          </w:tcPr>
          <w:p w14:paraId="50595706">
            <w:pPr>
              <w:pStyle w:val="16"/>
              <w:pageBreakBefore w:val="0"/>
              <w:widowControl w:val="0"/>
              <w:kinsoku/>
              <w:wordWrap/>
              <w:overflowPunct/>
              <w:topLinePunct w:val="0"/>
              <w:bidi w:val="0"/>
              <w:spacing w:line="360" w:lineRule="auto"/>
              <w:ind w:left="0" w:firstLine="0" w:firstLineChars="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（盖章）</w:t>
            </w:r>
          </w:p>
        </w:tc>
        <w:tc>
          <w:tcPr>
            <w:tcW w:w="2500" w:type="pct"/>
            <w:tcBorders>
              <w:left w:val="single" w:color="auto" w:sz="4" w:space="0"/>
              <w:bottom w:val="single" w:color="auto" w:sz="4" w:space="0"/>
              <w:right w:val="single" w:color="auto" w:sz="4" w:space="0"/>
            </w:tcBorders>
            <w:shd w:val="clear" w:color="auto" w:fill="auto"/>
            <w:noWrap w:val="0"/>
            <w:vAlign w:val="center"/>
          </w:tcPr>
          <w:p w14:paraId="01742AD6">
            <w:pPr>
              <w:pStyle w:val="16"/>
              <w:pageBreakBefore w:val="0"/>
              <w:widowControl w:val="0"/>
              <w:kinsoku/>
              <w:wordWrap/>
              <w:overflowPunct/>
              <w:topLinePunct w:val="0"/>
              <w:bidi w:val="0"/>
              <w:spacing w:line="360" w:lineRule="auto"/>
              <w:ind w:left="0" w:firstLine="0" w:firstLineChars="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（盖章）</w:t>
            </w:r>
          </w:p>
        </w:tc>
      </w:tr>
      <w:tr w14:paraId="737FE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 w:type="dxa"/>
            <w:bottom w:w="0" w:type="dxa"/>
            <w:right w:w="10" w:type="dxa"/>
          </w:tblCellMar>
        </w:tblPrEx>
        <w:trPr>
          <w:trHeight w:val="567" w:hRule="atLeast"/>
        </w:trPr>
        <w:tc>
          <w:tcPr>
            <w:tcW w:w="2500" w:type="pct"/>
            <w:tcBorders>
              <w:top w:val="single" w:color="auto" w:sz="4" w:space="0"/>
              <w:left w:val="single" w:color="auto" w:sz="4" w:space="0"/>
              <w:bottom w:val="single" w:color="auto" w:sz="4" w:space="0"/>
              <w:right w:val="single" w:color="auto" w:sz="4" w:space="0"/>
            </w:tcBorders>
            <w:shd w:val="clear" w:color="auto" w:fill="auto"/>
            <w:noWrap w:val="0"/>
            <w:vAlign w:val="top"/>
          </w:tcPr>
          <w:p w14:paraId="14898CE8">
            <w:pPr>
              <w:pStyle w:val="16"/>
              <w:pageBreakBefore w:val="0"/>
              <w:widowControl w:val="0"/>
              <w:kinsoku/>
              <w:wordWrap/>
              <w:overflowPunct/>
              <w:topLinePunct w:val="0"/>
              <w:bidi w:val="0"/>
              <w:spacing w:line="360" w:lineRule="auto"/>
              <w:ind w:left="0" w:firstLine="0" w:firstLineChars="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地址：</w:t>
            </w:r>
          </w:p>
        </w:tc>
        <w:tc>
          <w:tcPr>
            <w:tcW w:w="2500" w:type="pct"/>
            <w:tcBorders>
              <w:top w:val="single" w:color="auto" w:sz="4" w:space="0"/>
              <w:left w:val="single" w:color="auto" w:sz="4" w:space="0"/>
              <w:bottom w:val="single" w:color="auto" w:sz="4" w:space="0"/>
              <w:right w:val="single" w:color="auto" w:sz="4" w:space="0"/>
            </w:tcBorders>
            <w:shd w:val="clear" w:color="auto" w:fill="auto"/>
            <w:noWrap w:val="0"/>
            <w:vAlign w:val="top"/>
          </w:tcPr>
          <w:p w14:paraId="6E89A850">
            <w:pPr>
              <w:pStyle w:val="16"/>
              <w:pageBreakBefore w:val="0"/>
              <w:widowControl w:val="0"/>
              <w:kinsoku/>
              <w:wordWrap/>
              <w:overflowPunct/>
              <w:topLinePunct w:val="0"/>
              <w:bidi w:val="0"/>
              <w:spacing w:line="360" w:lineRule="auto"/>
              <w:ind w:left="0" w:firstLine="0" w:firstLineChars="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地址：</w:t>
            </w:r>
          </w:p>
        </w:tc>
      </w:tr>
      <w:tr w14:paraId="738D0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67" w:hRule="atLeast"/>
        </w:trPr>
        <w:tc>
          <w:tcPr>
            <w:tcW w:w="250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4E5B67BC">
            <w:pPr>
              <w:pStyle w:val="16"/>
              <w:pageBreakBefore w:val="0"/>
              <w:widowControl w:val="0"/>
              <w:kinsoku/>
              <w:wordWrap/>
              <w:overflowPunct/>
              <w:topLinePunct w:val="0"/>
              <w:bidi w:val="0"/>
              <w:spacing w:line="360" w:lineRule="auto"/>
              <w:ind w:left="0" w:firstLine="0" w:firstLineChars="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邮编：</w:t>
            </w:r>
          </w:p>
        </w:tc>
        <w:tc>
          <w:tcPr>
            <w:tcW w:w="250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2AC12B2D">
            <w:pPr>
              <w:pStyle w:val="16"/>
              <w:pageBreakBefore w:val="0"/>
              <w:widowControl w:val="0"/>
              <w:kinsoku/>
              <w:wordWrap/>
              <w:overflowPunct/>
              <w:topLinePunct w:val="0"/>
              <w:bidi w:val="0"/>
              <w:spacing w:line="360" w:lineRule="auto"/>
              <w:ind w:left="0" w:firstLine="0" w:firstLineChars="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邮编：</w:t>
            </w:r>
          </w:p>
        </w:tc>
      </w:tr>
      <w:tr w14:paraId="42A59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67" w:hRule="atLeast"/>
        </w:trPr>
        <w:tc>
          <w:tcPr>
            <w:tcW w:w="250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2A994DAC">
            <w:pPr>
              <w:pStyle w:val="16"/>
              <w:pageBreakBefore w:val="0"/>
              <w:widowControl w:val="0"/>
              <w:kinsoku/>
              <w:wordWrap/>
              <w:overflowPunct/>
              <w:topLinePunct w:val="0"/>
              <w:bidi w:val="0"/>
              <w:spacing w:line="360" w:lineRule="auto"/>
              <w:ind w:left="0" w:firstLine="0" w:firstLineChars="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法定代表人</w:t>
            </w:r>
            <w:r>
              <w:rPr>
                <w:rFonts w:hint="eastAsia" w:ascii="宋体" w:hAnsi="宋体" w:eastAsia="宋体" w:cs="宋体"/>
                <w:color w:val="000000"/>
                <w:sz w:val="21"/>
                <w:szCs w:val="21"/>
                <w:lang w:val="en-US" w:eastAsia="zh-CN"/>
              </w:rPr>
              <w:t>或</w:t>
            </w:r>
            <w:r>
              <w:rPr>
                <w:rFonts w:hint="eastAsia" w:ascii="宋体" w:hAnsi="宋体" w:eastAsia="宋体" w:cs="宋体"/>
                <w:color w:val="000000"/>
                <w:sz w:val="21"/>
                <w:szCs w:val="21"/>
              </w:rPr>
              <w:t>被授权代表：（签字</w:t>
            </w:r>
            <w:r>
              <w:rPr>
                <w:rFonts w:hint="eastAsia" w:ascii="宋体" w:hAnsi="宋体" w:eastAsia="宋体" w:cs="宋体"/>
                <w:color w:val="000000"/>
                <w:sz w:val="21"/>
                <w:szCs w:val="21"/>
                <w:lang w:val="en-US" w:eastAsia="zh-CN"/>
              </w:rPr>
              <w:t>或盖章</w:t>
            </w:r>
            <w:r>
              <w:rPr>
                <w:rFonts w:hint="eastAsia" w:ascii="宋体" w:hAnsi="宋体" w:eastAsia="宋体" w:cs="宋体"/>
                <w:color w:val="000000"/>
                <w:sz w:val="21"/>
                <w:szCs w:val="21"/>
              </w:rPr>
              <w:t>）</w:t>
            </w:r>
          </w:p>
        </w:tc>
        <w:tc>
          <w:tcPr>
            <w:tcW w:w="250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1BC6FAEB">
            <w:pPr>
              <w:pStyle w:val="16"/>
              <w:pageBreakBefore w:val="0"/>
              <w:widowControl w:val="0"/>
              <w:kinsoku/>
              <w:wordWrap/>
              <w:overflowPunct/>
              <w:topLinePunct w:val="0"/>
              <w:bidi w:val="0"/>
              <w:spacing w:line="360" w:lineRule="auto"/>
              <w:ind w:left="0" w:firstLine="0" w:firstLineChars="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法定代表人</w:t>
            </w:r>
            <w:r>
              <w:rPr>
                <w:rFonts w:hint="eastAsia" w:ascii="宋体" w:hAnsi="宋体" w:eastAsia="宋体" w:cs="宋体"/>
                <w:color w:val="000000"/>
                <w:sz w:val="21"/>
                <w:szCs w:val="21"/>
                <w:lang w:val="en-US" w:eastAsia="zh-CN"/>
              </w:rPr>
              <w:t>或</w:t>
            </w:r>
            <w:r>
              <w:rPr>
                <w:rFonts w:hint="eastAsia" w:ascii="宋体" w:hAnsi="宋体" w:eastAsia="宋体" w:cs="宋体"/>
                <w:color w:val="000000"/>
                <w:sz w:val="21"/>
                <w:szCs w:val="21"/>
              </w:rPr>
              <w:t>被授权代表：（签字</w:t>
            </w:r>
            <w:r>
              <w:rPr>
                <w:rFonts w:hint="eastAsia" w:ascii="宋体" w:hAnsi="宋体" w:eastAsia="宋体" w:cs="宋体"/>
                <w:color w:val="000000"/>
                <w:sz w:val="21"/>
                <w:szCs w:val="21"/>
                <w:lang w:val="en-US" w:eastAsia="zh-CN"/>
              </w:rPr>
              <w:t>或盖章</w:t>
            </w:r>
            <w:r>
              <w:rPr>
                <w:rFonts w:hint="eastAsia" w:ascii="宋体" w:hAnsi="宋体" w:eastAsia="宋体" w:cs="宋体"/>
                <w:color w:val="000000"/>
                <w:sz w:val="21"/>
                <w:szCs w:val="21"/>
              </w:rPr>
              <w:t>）</w:t>
            </w:r>
          </w:p>
        </w:tc>
      </w:tr>
      <w:tr w14:paraId="229BB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67" w:hRule="atLeast"/>
        </w:trPr>
        <w:tc>
          <w:tcPr>
            <w:tcW w:w="250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11219791">
            <w:pPr>
              <w:pStyle w:val="16"/>
              <w:pageBreakBefore w:val="0"/>
              <w:widowControl w:val="0"/>
              <w:kinsoku/>
              <w:wordWrap/>
              <w:overflowPunct/>
              <w:topLinePunct w:val="0"/>
              <w:bidi w:val="0"/>
              <w:spacing w:line="360" w:lineRule="auto"/>
              <w:ind w:left="0" w:firstLine="0" w:firstLineChars="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电话：</w:t>
            </w:r>
          </w:p>
        </w:tc>
        <w:tc>
          <w:tcPr>
            <w:tcW w:w="250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4016C101">
            <w:pPr>
              <w:pStyle w:val="16"/>
              <w:pageBreakBefore w:val="0"/>
              <w:widowControl w:val="0"/>
              <w:kinsoku/>
              <w:wordWrap/>
              <w:overflowPunct/>
              <w:topLinePunct w:val="0"/>
              <w:bidi w:val="0"/>
              <w:spacing w:line="360" w:lineRule="auto"/>
              <w:ind w:left="0" w:firstLine="0" w:firstLineChars="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电话：</w:t>
            </w:r>
          </w:p>
        </w:tc>
      </w:tr>
      <w:tr w14:paraId="3DEDB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67" w:hRule="atLeast"/>
        </w:trPr>
        <w:tc>
          <w:tcPr>
            <w:tcW w:w="250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35C6A821">
            <w:pPr>
              <w:pStyle w:val="16"/>
              <w:pageBreakBefore w:val="0"/>
              <w:widowControl w:val="0"/>
              <w:kinsoku/>
              <w:wordWrap/>
              <w:overflowPunct/>
              <w:topLinePunct w:val="0"/>
              <w:bidi w:val="0"/>
              <w:spacing w:line="360" w:lineRule="auto"/>
              <w:ind w:left="0" w:firstLine="0" w:firstLineChars="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 xml:space="preserve">日期：年 </w:t>
            </w:r>
            <w:r>
              <w:rPr>
                <w:rFonts w:hint="eastAsia" w:ascii="宋体" w:hAnsi="宋体" w:eastAsia="宋体" w:cs="宋体"/>
                <w:color w:val="000000"/>
                <w:sz w:val="21"/>
                <w:szCs w:val="21"/>
                <w:lang w:val="zh-CN" w:eastAsia="zh-CN" w:bidi="zh-CN"/>
              </w:rPr>
              <w:t>月</w:t>
            </w:r>
            <w:r>
              <w:rPr>
                <w:rFonts w:hint="eastAsia" w:ascii="宋体" w:hAnsi="宋体" w:eastAsia="宋体" w:cs="宋体"/>
                <w:color w:val="000000"/>
                <w:sz w:val="21"/>
                <w:szCs w:val="21"/>
                <w:lang w:val="en-US" w:eastAsia="zh-CN" w:bidi="zh-CN"/>
              </w:rPr>
              <w:t xml:space="preserve"> 日</w:t>
            </w:r>
          </w:p>
        </w:tc>
        <w:tc>
          <w:tcPr>
            <w:tcW w:w="2500"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4B35B1CF">
            <w:pPr>
              <w:pStyle w:val="16"/>
              <w:pageBreakBefore w:val="0"/>
              <w:widowControl w:val="0"/>
              <w:kinsoku/>
              <w:wordWrap/>
              <w:overflowPunct/>
              <w:topLinePunct w:val="0"/>
              <w:bidi w:val="0"/>
              <w:spacing w:line="360" w:lineRule="auto"/>
              <w:ind w:left="0" w:firstLine="0" w:firstLineChars="0"/>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 xml:space="preserve">日期：年 </w:t>
            </w:r>
            <w:r>
              <w:rPr>
                <w:rFonts w:hint="eastAsia" w:ascii="宋体" w:hAnsi="宋体" w:eastAsia="宋体" w:cs="宋体"/>
                <w:color w:val="000000"/>
                <w:sz w:val="21"/>
                <w:szCs w:val="21"/>
                <w:lang w:val="zh-CN" w:eastAsia="zh-CN" w:bidi="zh-CN"/>
              </w:rPr>
              <w:t>月</w:t>
            </w:r>
            <w:r>
              <w:rPr>
                <w:rFonts w:hint="eastAsia" w:ascii="宋体" w:hAnsi="宋体" w:eastAsia="宋体" w:cs="宋体"/>
                <w:color w:val="000000"/>
                <w:sz w:val="21"/>
                <w:szCs w:val="21"/>
                <w:lang w:val="en-US" w:eastAsia="zh-CN" w:bidi="zh-CN"/>
              </w:rPr>
              <w:t xml:space="preserve"> 日</w:t>
            </w:r>
          </w:p>
        </w:tc>
      </w:tr>
    </w:tbl>
    <w:p w14:paraId="446FE1F2">
      <w:pPr>
        <w:pStyle w:val="8"/>
        <w:shd w:val="clear"/>
        <w:rPr>
          <w:rFonts w:hint="eastAsia" w:ascii="宋体" w:hAnsi="宋体" w:eastAsia="宋体" w:cs="宋体"/>
          <w:color w:val="auto"/>
          <w:highlight w:val="none"/>
          <w:lang w:val="en-US" w:eastAsia="zh-Hans"/>
        </w:rPr>
      </w:pPr>
    </w:p>
    <w:p w14:paraId="2D31299F"/>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1B64E">
    <w:pPr>
      <w:pStyle w:val="5"/>
      <w:rPr>
        <w:rFonts w:hint="eastAsia" w:ascii="仿宋_GB2312" w:eastAsia="仿宋_GB2312"/>
        <w:sz w:val="21"/>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F2C85"/>
    <w:rsid w:val="495F2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3"/>
    <w:basedOn w:val="1"/>
    <w:next w:val="3"/>
    <w:qFormat/>
    <w:uiPriority w:val="1"/>
    <w:pPr>
      <w:spacing w:line="242" w:lineRule="exact"/>
      <w:ind w:left="490" w:hanging="384"/>
      <w:outlineLvl w:val="3"/>
    </w:pPr>
    <w:rPr>
      <w:rFonts w:ascii="宋体" w:hAnsi="宋体" w:eastAsia="宋体" w:cs="宋体"/>
      <w:b/>
      <w:bCs/>
      <w:sz w:val="19"/>
      <w:szCs w:val="19"/>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rFonts w:ascii="Times New Roman" w:hAnsi="Times New Roman"/>
      <w:sz w:val="21"/>
    </w:rPr>
  </w:style>
  <w:style w:type="paragraph" w:styleId="4">
    <w:name w:val="toc 4"/>
    <w:basedOn w:val="1"/>
    <w:next w:val="1"/>
    <w:qFormat/>
    <w:uiPriority w:val="39"/>
    <w:pPr>
      <w:ind w:left="630"/>
      <w:jc w:val="left"/>
    </w:pPr>
    <w:rPr>
      <w:rFonts w:ascii="Calibri" w:hAnsi="Calibri" w:cs="Calibri"/>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Body text|5"/>
    <w:basedOn w:val="1"/>
    <w:qFormat/>
    <w:uiPriority w:val="0"/>
    <w:pPr>
      <w:widowControl w:val="0"/>
      <w:shd w:val="clear" w:color="auto" w:fill="auto"/>
      <w:spacing w:after="480" w:line="500" w:lineRule="exact"/>
    </w:pPr>
    <w:rPr>
      <w:rFonts w:ascii="宋体" w:hAnsi="宋体" w:eastAsia="宋体" w:cs="宋体"/>
      <w:sz w:val="32"/>
      <w:szCs w:val="32"/>
      <w:u w:val="none"/>
      <w:shd w:val="clear" w:color="auto" w:fill="auto"/>
      <w:lang w:val="zh-TW" w:eastAsia="zh-TW" w:bidi="zh-TW"/>
    </w:rPr>
  </w:style>
  <w:style w:type="paragraph" w:customStyle="1" w:styleId="10">
    <w:name w:val="Body text|7"/>
    <w:basedOn w:val="1"/>
    <w:qFormat/>
    <w:uiPriority w:val="0"/>
    <w:pPr>
      <w:widowControl w:val="0"/>
      <w:shd w:val="clear" w:color="auto" w:fill="auto"/>
      <w:spacing w:after="100" w:line="1130" w:lineRule="exact"/>
      <w:jc w:val="center"/>
    </w:pPr>
    <w:rPr>
      <w:rFonts w:ascii="宋体" w:hAnsi="宋体" w:eastAsia="宋体" w:cs="宋体"/>
      <w:sz w:val="74"/>
      <w:szCs w:val="74"/>
      <w:u w:val="none"/>
      <w:shd w:val="clear" w:color="auto" w:fill="auto"/>
      <w:lang w:val="zh-TW" w:eastAsia="zh-TW" w:bidi="zh-TW"/>
    </w:rPr>
  </w:style>
  <w:style w:type="paragraph" w:customStyle="1" w:styleId="11">
    <w:name w:val="Body text|6"/>
    <w:basedOn w:val="1"/>
    <w:qFormat/>
    <w:uiPriority w:val="0"/>
    <w:pPr>
      <w:widowControl w:val="0"/>
      <w:shd w:val="clear" w:color="auto" w:fill="auto"/>
      <w:spacing w:after="100"/>
      <w:jc w:val="center"/>
    </w:pPr>
    <w:rPr>
      <w:sz w:val="30"/>
      <w:szCs w:val="30"/>
      <w:u w:val="none"/>
      <w:shd w:val="clear" w:color="auto" w:fill="auto"/>
    </w:rPr>
  </w:style>
  <w:style w:type="paragraph" w:customStyle="1" w:styleId="12">
    <w:name w:val="Heading #2|1"/>
    <w:basedOn w:val="1"/>
    <w:qFormat/>
    <w:uiPriority w:val="0"/>
    <w:pPr>
      <w:widowControl w:val="0"/>
      <w:shd w:val="clear" w:color="auto" w:fill="auto"/>
      <w:jc w:val="center"/>
      <w:outlineLvl w:val="1"/>
    </w:pPr>
    <w:rPr>
      <w:rFonts w:ascii="宋体" w:hAnsi="宋体" w:eastAsia="宋体" w:cs="宋体"/>
      <w:sz w:val="44"/>
      <w:szCs w:val="44"/>
      <w:u w:val="none"/>
      <w:shd w:val="clear" w:color="auto" w:fill="auto"/>
      <w:lang w:val="zh-TW" w:eastAsia="zh-TW" w:bidi="zh-TW"/>
    </w:rPr>
  </w:style>
  <w:style w:type="paragraph" w:customStyle="1" w:styleId="13">
    <w:name w:val="Body text|2"/>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4">
    <w:name w:val="Body text|1"/>
    <w:basedOn w:val="1"/>
    <w:qFormat/>
    <w:uiPriority w:val="0"/>
    <w:pPr>
      <w:widowControl w:val="0"/>
      <w:shd w:val="clear" w:color="auto" w:fill="auto"/>
      <w:spacing w:line="425" w:lineRule="exact"/>
      <w:ind w:firstLine="540"/>
    </w:pPr>
    <w:rPr>
      <w:rFonts w:ascii="宋体" w:hAnsi="宋体" w:eastAsia="宋体" w:cs="宋体"/>
      <w:sz w:val="28"/>
      <w:szCs w:val="28"/>
      <w:u w:val="none"/>
      <w:shd w:val="clear" w:color="auto" w:fill="auto"/>
      <w:lang w:val="zh-TW" w:eastAsia="zh-TW" w:bidi="zh-TW"/>
    </w:rPr>
  </w:style>
  <w:style w:type="paragraph" w:customStyle="1" w:styleId="15">
    <w:name w:val="Table caption|1"/>
    <w:basedOn w:val="1"/>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16">
    <w:name w:val="Other|1"/>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2025-10-09T06:58:00Z</dcterms:created>
  <dc:creator>ZBB</dc:creator>
  <cp:lastModifiedBy>ZBB</cp:lastModifiedBy>
  <dcterms:modified xsi:type="dcterms:W3CDTF">2025-10-09T06:58:57Z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6AE6F398B8EE413FA7D08646C9B545C7_11</vt:lpwstr>
  </property>
  <property fmtid="{D5CDD505-2E9C-101B-9397-08002B2CF9AE}" pid="4" name="KSOTemplateDocerSaveRecord">
    <vt:lpwstr>eyJoZGlkIjoiOTFmZWVhNDRmNTgzOTg3YTkyNzUwNWU2Nzk1Y2FhZTkiLCJ1c2VySWQiOiIyNjQ2NDU1NDQifQ==</vt:lpwstr>
  </property>
</Properties>
</file>